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2F5C5E" w:rsidRPr="009E2B84" w14:paraId="7227161A" w14:textId="77777777" w:rsidTr="0047741D">
        <w:trPr>
          <w:gridAfter w:val="1"/>
          <w:wAfter w:w="2835" w:type="dxa"/>
          <w:cantSplit/>
          <w:trHeight w:val="569"/>
        </w:trPr>
        <w:tc>
          <w:tcPr>
            <w:tcW w:w="4786" w:type="dxa"/>
            <w:shd w:val="clear" w:color="auto" w:fill="BFBFBF"/>
            <w:vAlign w:val="center"/>
          </w:tcPr>
          <w:p w14:paraId="7820A19E" w14:textId="77777777" w:rsidR="002F5C5E" w:rsidRPr="009E2B84" w:rsidRDefault="00713633" w:rsidP="00AC4A99">
            <w:pPr>
              <w:keepNext/>
              <w:shd w:val="clear" w:color="auto" w:fill="BFBFBF"/>
              <w:jc w:val="center"/>
              <w:outlineLvl w:val="0"/>
              <w:rPr>
                <w:b/>
              </w:rPr>
            </w:pPr>
            <w:r>
              <w:rPr>
                <w:noProof/>
              </w:rPr>
              <w:drawing>
                <wp:anchor distT="0" distB="0" distL="114300" distR="114300" simplePos="0" relativeHeight="251657728" behindDoc="1" locked="0" layoutInCell="0" allowOverlap="1" wp14:anchorId="4460E20C" wp14:editId="53CCCC7C">
                  <wp:simplePos x="0" y="0"/>
                  <wp:positionH relativeFrom="column">
                    <wp:posOffset>4766310</wp:posOffset>
                  </wp:positionH>
                  <wp:positionV relativeFrom="paragraph">
                    <wp:posOffset>-80010</wp:posOffset>
                  </wp:positionV>
                  <wp:extent cx="1463040" cy="1215390"/>
                  <wp:effectExtent l="0" t="0" r="381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1215390"/>
                          </a:xfrm>
                          <a:prstGeom prst="rect">
                            <a:avLst/>
                          </a:prstGeom>
                          <a:noFill/>
                        </pic:spPr>
                      </pic:pic>
                    </a:graphicData>
                  </a:graphic>
                  <wp14:sizeRelH relativeFrom="page">
                    <wp14:pctWidth>0</wp14:pctWidth>
                  </wp14:sizeRelH>
                  <wp14:sizeRelV relativeFrom="page">
                    <wp14:pctHeight>0</wp14:pctHeight>
                  </wp14:sizeRelV>
                </wp:anchor>
              </w:drawing>
            </w:r>
            <w:r w:rsidR="002F5C5E" w:rsidRPr="009E2B84">
              <w:rPr>
                <w:b/>
              </w:rPr>
              <w:t>REPORT</w:t>
            </w:r>
            <w:r w:rsidR="00FF4999">
              <w:rPr>
                <w:b/>
              </w:rPr>
              <w:t xml:space="preserve"> TO</w:t>
            </w:r>
          </w:p>
        </w:tc>
        <w:tc>
          <w:tcPr>
            <w:tcW w:w="2268" w:type="dxa"/>
            <w:gridSpan w:val="2"/>
            <w:shd w:val="clear" w:color="auto" w:fill="BFBFBF"/>
            <w:vAlign w:val="center"/>
          </w:tcPr>
          <w:p w14:paraId="16E534CB" w14:textId="77777777" w:rsidR="002F5C5E" w:rsidRPr="009E2B84" w:rsidRDefault="002F5C5E" w:rsidP="00AC4A99">
            <w:pPr>
              <w:jc w:val="center"/>
              <w:rPr>
                <w:b/>
              </w:rPr>
            </w:pPr>
            <w:r w:rsidRPr="009E2B84">
              <w:rPr>
                <w:b/>
              </w:rPr>
              <w:t>ON</w:t>
            </w:r>
          </w:p>
        </w:tc>
      </w:tr>
      <w:tr w:rsidR="002F5C5E" w:rsidRPr="009E2B84" w14:paraId="1E94868E" w14:textId="77777777" w:rsidTr="0047741D">
        <w:trPr>
          <w:gridAfter w:val="1"/>
          <w:wAfter w:w="2835" w:type="dxa"/>
          <w:cantSplit/>
          <w:trHeight w:val="654"/>
        </w:trPr>
        <w:tc>
          <w:tcPr>
            <w:tcW w:w="4786" w:type="dxa"/>
            <w:tcBorders>
              <w:bottom w:val="nil"/>
            </w:tcBorders>
            <w:vAlign w:val="center"/>
          </w:tcPr>
          <w:p w14:paraId="6087D2C9" w14:textId="77777777" w:rsidR="002F5C5E" w:rsidRPr="00BE2A3F" w:rsidRDefault="00A55825" w:rsidP="00AC4A99">
            <w:pPr>
              <w:jc w:val="center"/>
              <w:rPr>
                <w:b/>
                <w:szCs w:val="22"/>
              </w:rPr>
            </w:pPr>
            <w:r>
              <w:rPr>
                <w:b/>
                <w:szCs w:val="22"/>
              </w:rPr>
              <w:t>General Licensing Committee</w:t>
            </w:r>
          </w:p>
        </w:tc>
        <w:tc>
          <w:tcPr>
            <w:tcW w:w="2268" w:type="dxa"/>
            <w:gridSpan w:val="2"/>
            <w:tcBorders>
              <w:bottom w:val="nil"/>
            </w:tcBorders>
            <w:vAlign w:val="center"/>
          </w:tcPr>
          <w:p w14:paraId="55AE6639" w14:textId="6D39A15A" w:rsidR="002F5C5E" w:rsidRPr="009E2B84" w:rsidRDefault="008358B8" w:rsidP="00A77703">
            <w:pPr>
              <w:jc w:val="center"/>
              <w:rPr>
                <w:b/>
              </w:rPr>
            </w:pPr>
            <w:r>
              <w:rPr>
                <w:b/>
              </w:rPr>
              <w:t>11 September 2018</w:t>
            </w:r>
          </w:p>
        </w:tc>
      </w:tr>
      <w:tr w:rsidR="002F5C5E" w:rsidRPr="009E2B84" w14:paraId="26D8499B" w14:textId="77777777" w:rsidTr="0047741D">
        <w:trPr>
          <w:gridAfter w:val="1"/>
          <w:wAfter w:w="2835" w:type="dxa"/>
          <w:cantSplit/>
          <w:trHeight w:val="560"/>
        </w:trPr>
        <w:tc>
          <w:tcPr>
            <w:tcW w:w="7054" w:type="dxa"/>
            <w:gridSpan w:val="3"/>
            <w:tcBorders>
              <w:left w:val="nil"/>
              <w:right w:val="nil"/>
            </w:tcBorders>
          </w:tcPr>
          <w:p w14:paraId="42FAB400" w14:textId="77777777" w:rsidR="002F5C5E" w:rsidRPr="009E2B84" w:rsidRDefault="002F5C5E" w:rsidP="003902A2">
            <w:pPr>
              <w:jc w:val="right"/>
              <w:rPr>
                <w:sz w:val="8"/>
              </w:rPr>
            </w:pPr>
          </w:p>
        </w:tc>
      </w:tr>
      <w:tr w:rsidR="0047741D" w:rsidRPr="009E2B84" w14:paraId="1AB898A3" w14:textId="77777777" w:rsidTr="0047741D">
        <w:trPr>
          <w:cantSplit/>
        </w:trPr>
        <w:tc>
          <w:tcPr>
            <w:tcW w:w="6912" w:type="dxa"/>
            <w:gridSpan w:val="2"/>
            <w:shd w:val="clear" w:color="auto" w:fill="BFBFBF"/>
            <w:vAlign w:val="center"/>
          </w:tcPr>
          <w:p w14:paraId="528C7E79" w14:textId="77777777" w:rsidR="0047741D" w:rsidRPr="009E2B84" w:rsidRDefault="0047741D" w:rsidP="00E2196F">
            <w:pPr>
              <w:jc w:val="center"/>
              <w:rPr>
                <w:b/>
              </w:rPr>
            </w:pPr>
            <w:r w:rsidRPr="009E2B84">
              <w:rPr>
                <w:b/>
              </w:rPr>
              <w:t>TITLE</w:t>
            </w:r>
          </w:p>
        </w:tc>
        <w:tc>
          <w:tcPr>
            <w:tcW w:w="2977" w:type="dxa"/>
            <w:gridSpan w:val="2"/>
            <w:shd w:val="clear" w:color="auto" w:fill="BFBFBF"/>
            <w:vAlign w:val="center"/>
          </w:tcPr>
          <w:p w14:paraId="72DCC684" w14:textId="77777777" w:rsidR="0047741D" w:rsidRPr="009E2B84" w:rsidRDefault="0047741D" w:rsidP="00E2196F">
            <w:pPr>
              <w:jc w:val="center"/>
              <w:rPr>
                <w:b/>
              </w:rPr>
            </w:pPr>
            <w:r>
              <w:rPr>
                <w:b/>
              </w:rPr>
              <w:t>REPORT OF</w:t>
            </w:r>
          </w:p>
        </w:tc>
      </w:tr>
      <w:tr w:rsidR="0047741D" w:rsidRPr="009E2B84" w14:paraId="07E30463" w14:textId="77777777" w:rsidTr="0047741D">
        <w:trPr>
          <w:cantSplit/>
          <w:trHeight w:val="667"/>
        </w:trPr>
        <w:tc>
          <w:tcPr>
            <w:tcW w:w="6912" w:type="dxa"/>
            <w:gridSpan w:val="2"/>
            <w:vAlign w:val="center"/>
          </w:tcPr>
          <w:p w14:paraId="36C4613C" w14:textId="77777777" w:rsidR="001B1D4F" w:rsidRPr="009E2B84" w:rsidRDefault="008358B8" w:rsidP="00A512A3">
            <w:pPr>
              <w:rPr>
                <w:b/>
              </w:rPr>
            </w:pPr>
            <w:r>
              <w:rPr>
                <w:b/>
              </w:rPr>
              <w:t>Consultation on Gambling Policy</w:t>
            </w:r>
          </w:p>
        </w:tc>
        <w:tc>
          <w:tcPr>
            <w:tcW w:w="2977" w:type="dxa"/>
            <w:gridSpan w:val="2"/>
            <w:vAlign w:val="center"/>
          </w:tcPr>
          <w:p w14:paraId="26D3013B" w14:textId="77777777" w:rsidR="0047741D" w:rsidRPr="005368C1" w:rsidRDefault="005368C1" w:rsidP="001D28E4">
            <w:r>
              <w:t xml:space="preserve">Head of </w:t>
            </w:r>
            <w:r w:rsidR="003254B6">
              <w:t>Licensing</w:t>
            </w:r>
          </w:p>
        </w:tc>
      </w:tr>
    </w:tbl>
    <w:p w14:paraId="2B2BF62D" w14:textId="77777777" w:rsidR="002F5C5E" w:rsidRPr="009E2B84" w:rsidRDefault="002F5C5E" w:rsidP="002F5C5E"/>
    <w:p w14:paraId="508FD644" w14:textId="77777777" w:rsidR="002F5C5E" w:rsidRDefault="002F5C5E" w:rsidP="002F5C5E">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47741D" w:rsidRPr="009C1143" w14:paraId="34DE24EB" w14:textId="77777777" w:rsidTr="00E2196F">
        <w:tc>
          <w:tcPr>
            <w:tcW w:w="6652" w:type="dxa"/>
            <w:shd w:val="clear" w:color="auto" w:fill="auto"/>
          </w:tcPr>
          <w:p w14:paraId="391BD834" w14:textId="77777777" w:rsidR="0047741D" w:rsidRDefault="0047741D" w:rsidP="00E2196F">
            <w:pPr>
              <w:rPr>
                <w:szCs w:val="22"/>
              </w:rPr>
            </w:pPr>
          </w:p>
          <w:p w14:paraId="7C421323" w14:textId="77777777" w:rsidR="0047741D" w:rsidRPr="009C1143" w:rsidRDefault="0047741D" w:rsidP="00E2196F">
            <w:pPr>
              <w:rPr>
                <w:szCs w:val="22"/>
              </w:rPr>
            </w:pPr>
            <w:r>
              <w:rPr>
                <w:szCs w:val="22"/>
              </w:rPr>
              <w:t>Is this report confidential?</w:t>
            </w:r>
          </w:p>
        </w:tc>
        <w:tc>
          <w:tcPr>
            <w:tcW w:w="3266" w:type="dxa"/>
            <w:shd w:val="clear" w:color="auto" w:fill="auto"/>
          </w:tcPr>
          <w:p w14:paraId="0DE5142A" w14:textId="77777777" w:rsidR="001B1D4F" w:rsidRDefault="001B1D4F" w:rsidP="00E2196F">
            <w:pPr>
              <w:rPr>
                <w:b/>
                <w:szCs w:val="22"/>
              </w:rPr>
            </w:pPr>
          </w:p>
          <w:p w14:paraId="284338D8" w14:textId="77777777" w:rsidR="0047741D" w:rsidRPr="00F3057A" w:rsidRDefault="0047741D" w:rsidP="00E2196F">
            <w:pPr>
              <w:rPr>
                <w:b/>
                <w:szCs w:val="22"/>
              </w:rPr>
            </w:pPr>
            <w:r w:rsidRPr="00F3057A">
              <w:rPr>
                <w:b/>
                <w:szCs w:val="22"/>
              </w:rPr>
              <w:t xml:space="preserve">No </w:t>
            </w:r>
          </w:p>
          <w:p w14:paraId="35E8890A" w14:textId="77777777" w:rsidR="0047741D" w:rsidRPr="009C1143" w:rsidRDefault="0047741D" w:rsidP="001B1D4F">
            <w:pPr>
              <w:rPr>
                <w:szCs w:val="22"/>
              </w:rPr>
            </w:pPr>
          </w:p>
        </w:tc>
      </w:tr>
    </w:tbl>
    <w:p w14:paraId="493B0E82" w14:textId="77777777" w:rsidR="0047741D" w:rsidRDefault="0047741D" w:rsidP="002F5C5E">
      <w:pPr>
        <w:rPr>
          <w:sz w:val="16"/>
          <w:szCs w:val="16"/>
        </w:rPr>
      </w:pPr>
    </w:p>
    <w:p w14:paraId="79A86179" w14:textId="77777777" w:rsidR="00EB2D32" w:rsidRPr="009C1143" w:rsidRDefault="00EB2D32" w:rsidP="002F5C5E">
      <w:pPr>
        <w:rPr>
          <w:sz w:val="16"/>
          <w:szCs w:val="16"/>
        </w:rPr>
      </w:pPr>
    </w:p>
    <w:p w14:paraId="4BB04D67" w14:textId="77777777" w:rsidR="002F5C5E" w:rsidRPr="00F4022F" w:rsidRDefault="002F5C5E" w:rsidP="00F4022F">
      <w:pPr>
        <w:keepNext/>
        <w:numPr>
          <w:ilvl w:val="0"/>
          <w:numId w:val="8"/>
        </w:numPr>
        <w:outlineLvl w:val="0"/>
        <w:rPr>
          <w:rFonts w:cs="Arial"/>
          <w:b/>
          <w:szCs w:val="22"/>
        </w:rPr>
      </w:pPr>
      <w:r w:rsidRPr="009C1143">
        <w:rPr>
          <w:b/>
          <w:szCs w:val="22"/>
        </w:rPr>
        <w:t xml:space="preserve">PURPOSE OF THE REPORT  </w:t>
      </w:r>
    </w:p>
    <w:p w14:paraId="4596385E" w14:textId="77777777" w:rsidR="000B5251" w:rsidRPr="00F4022F" w:rsidRDefault="000B5251" w:rsidP="00F4022F">
      <w:pPr>
        <w:keepNext/>
        <w:ind w:left="360"/>
        <w:outlineLvl w:val="0"/>
        <w:rPr>
          <w:rFonts w:cs="Arial"/>
          <w:b/>
          <w:szCs w:val="22"/>
        </w:rPr>
      </w:pPr>
    </w:p>
    <w:p w14:paraId="2EFD40B9" w14:textId="727CA8C0" w:rsidR="00BC63A8" w:rsidRDefault="00BC63A8" w:rsidP="00F4022F">
      <w:pPr>
        <w:rPr>
          <w:rFonts w:cs="Arial"/>
          <w:szCs w:val="22"/>
        </w:rPr>
      </w:pPr>
      <w:r>
        <w:rPr>
          <w:rFonts w:cs="Arial"/>
          <w:szCs w:val="22"/>
        </w:rPr>
        <w:t>To outline the</w:t>
      </w:r>
      <w:r w:rsidR="005A1D29">
        <w:rPr>
          <w:rFonts w:cs="Arial"/>
          <w:szCs w:val="22"/>
        </w:rPr>
        <w:t xml:space="preserve"> proposed</w:t>
      </w:r>
      <w:r>
        <w:rPr>
          <w:rFonts w:cs="Arial"/>
          <w:szCs w:val="22"/>
        </w:rPr>
        <w:t xml:space="preserve"> </w:t>
      </w:r>
      <w:r w:rsidR="008358B8">
        <w:rPr>
          <w:rFonts w:cs="Arial"/>
          <w:szCs w:val="22"/>
        </w:rPr>
        <w:t xml:space="preserve">revisions and updates on the </w:t>
      </w:r>
      <w:r w:rsidR="005A1D29">
        <w:rPr>
          <w:rFonts w:cs="Arial"/>
          <w:szCs w:val="22"/>
        </w:rPr>
        <w:t>c</w:t>
      </w:r>
      <w:r w:rsidR="008358B8">
        <w:rPr>
          <w:rFonts w:cs="Arial"/>
          <w:szCs w:val="22"/>
        </w:rPr>
        <w:t>ouncil</w:t>
      </w:r>
      <w:r w:rsidR="005A1D29">
        <w:rPr>
          <w:rFonts w:cs="Arial"/>
          <w:szCs w:val="22"/>
        </w:rPr>
        <w:t>’</w:t>
      </w:r>
      <w:r w:rsidR="008358B8">
        <w:rPr>
          <w:rFonts w:cs="Arial"/>
          <w:szCs w:val="22"/>
        </w:rPr>
        <w:t>s Gambling</w:t>
      </w:r>
      <w:r w:rsidR="00AE7921">
        <w:rPr>
          <w:rFonts w:cs="Arial"/>
          <w:szCs w:val="22"/>
        </w:rPr>
        <w:t xml:space="preserve"> </w:t>
      </w:r>
      <w:r w:rsidR="008358B8">
        <w:rPr>
          <w:rFonts w:cs="Arial"/>
          <w:szCs w:val="22"/>
        </w:rPr>
        <w:t>Policy</w:t>
      </w:r>
      <w:r w:rsidR="005A1D29">
        <w:rPr>
          <w:rFonts w:cs="Arial"/>
          <w:szCs w:val="22"/>
        </w:rPr>
        <w:t xml:space="preserve"> and to seek approval to go out to consultation on this document</w:t>
      </w:r>
      <w:r w:rsidR="00AE7921">
        <w:rPr>
          <w:rFonts w:cs="Arial"/>
          <w:szCs w:val="22"/>
        </w:rPr>
        <w:t>.</w:t>
      </w:r>
    </w:p>
    <w:p w14:paraId="44A8B320" w14:textId="77777777" w:rsidR="002F5C5E" w:rsidRPr="00F4022F" w:rsidRDefault="002F5C5E" w:rsidP="00F4022F">
      <w:pPr>
        <w:rPr>
          <w:rFonts w:cs="Arial"/>
          <w:szCs w:val="22"/>
        </w:rPr>
      </w:pPr>
    </w:p>
    <w:p w14:paraId="16ECBC20" w14:textId="77777777" w:rsidR="000B5251" w:rsidRPr="00F4022F" w:rsidRDefault="000B5251" w:rsidP="00F4022F">
      <w:pPr>
        <w:keepNext/>
        <w:ind w:left="360"/>
        <w:outlineLvl w:val="0"/>
        <w:rPr>
          <w:rFonts w:cs="Arial"/>
          <w:b/>
          <w:szCs w:val="22"/>
        </w:rPr>
      </w:pPr>
    </w:p>
    <w:p w14:paraId="12F9E7E0" w14:textId="77777777" w:rsidR="002F5C5E" w:rsidRPr="00C33FA8" w:rsidRDefault="002F5C5E" w:rsidP="00C33FA8">
      <w:pPr>
        <w:pStyle w:val="ListParagraph"/>
        <w:keepNext/>
        <w:numPr>
          <w:ilvl w:val="0"/>
          <w:numId w:val="8"/>
        </w:numPr>
        <w:outlineLvl w:val="0"/>
        <w:rPr>
          <w:rFonts w:ascii="Arial" w:hAnsi="Arial" w:cs="Arial"/>
          <w:b/>
        </w:rPr>
      </w:pPr>
      <w:r w:rsidRPr="00C33FA8">
        <w:rPr>
          <w:rFonts w:ascii="Arial" w:hAnsi="Arial" w:cs="Arial"/>
          <w:b/>
        </w:rPr>
        <w:t>CORPORATE PRIORITIES</w:t>
      </w:r>
    </w:p>
    <w:p w14:paraId="18414475" w14:textId="77777777" w:rsidR="00772B9C" w:rsidRPr="00F4022F" w:rsidRDefault="00772B9C" w:rsidP="00F4022F">
      <w:pPr>
        <w:keepNext/>
        <w:outlineLvl w:val="0"/>
        <w:rPr>
          <w:rFonts w:cs="Arial"/>
          <w:b/>
          <w:szCs w:val="22"/>
        </w:rPr>
      </w:pPr>
    </w:p>
    <w:p w14:paraId="1AEC0C4E" w14:textId="77777777" w:rsidR="00772B9C" w:rsidRPr="00F4022F" w:rsidRDefault="00772B9C" w:rsidP="00F4022F">
      <w:pPr>
        <w:keepNext/>
        <w:ind w:left="360"/>
        <w:outlineLvl w:val="0"/>
        <w:rPr>
          <w:rFonts w:cs="Arial"/>
          <w:i/>
          <w:color w:val="2E74B5"/>
          <w:szCs w:val="22"/>
        </w:rPr>
      </w:pPr>
      <w:r w:rsidRPr="00F4022F">
        <w:rPr>
          <w:rFonts w:cs="Arial"/>
          <w:szCs w:val="22"/>
        </w:rPr>
        <w:t>The report relates to the following corporate priorities:</w:t>
      </w:r>
    </w:p>
    <w:p w14:paraId="6CA0D0F8" w14:textId="77777777" w:rsidR="00772B9C" w:rsidRPr="00F4022F" w:rsidRDefault="00772B9C" w:rsidP="00F4022F">
      <w:pPr>
        <w:keepNext/>
        <w:outlineLvl w:val="0"/>
        <w:rPr>
          <w:rFonts w:cs="Arial"/>
          <w:b/>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772B9C" w:rsidRPr="00F4022F" w14:paraId="3AE788C6" w14:textId="77777777" w:rsidTr="0065755A">
        <w:tc>
          <w:tcPr>
            <w:tcW w:w="4423" w:type="dxa"/>
            <w:shd w:val="clear" w:color="auto" w:fill="auto"/>
          </w:tcPr>
          <w:p w14:paraId="707DA29E" w14:textId="77777777" w:rsidR="00772B9C" w:rsidRPr="00F4022F" w:rsidRDefault="00772B9C" w:rsidP="00F4022F">
            <w:pPr>
              <w:rPr>
                <w:rFonts w:cs="Arial"/>
                <w:szCs w:val="22"/>
              </w:rPr>
            </w:pPr>
            <w:r w:rsidRPr="00F4022F">
              <w:rPr>
                <w:rFonts w:cs="Arial"/>
                <w:szCs w:val="22"/>
              </w:rPr>
              <w:t>Excellence and Financial Sustainability</w:t>
            </w:r>
          </w:p>
          <w:p w14:paraId="1ED4703A" w14:textId="77777777" w:rsidR="00772B9C" w:rsidRPr="00F4022F" w:rsidRDefault="00772B9C" w:rsidP="00F4022F">
            <w:pPr>
              <w:rPr>
                <w:rFonts w:cs="Arial"/>
                <w:szCs w:val="22"/>
              </w:rPr>
            </w:pPr>
          </w:p>
        </w:tc>
        <w:tc>
          <w:tcPr>
            <w:tcW w:w="850" w:type="dxa"/>
            <w:shd w:val="clear" w:color="auto" w:fill="auto"/>
          </w:tcPr>
          <w:p w14:paraId="56E2190A" w14:textId="77777777" w:rsidR="00772B9C" w:rsidRPr="00F4022F" w:rsidRDefault="001D28E4" w:rsidP="00F4022F">
            <w:pPr>
              <w:rPr>
                <w:rFonts w:cs="Arial"/>
                <w:szCs w:val="22"/>
                <w:highlight w:val="yellow"/>
              </w:rPr>
            </w:pPr>
            <w:r w:rsidRPr="00F4022F">
              <w:rPr>
                <w:rFonts w:cs="Arial"/>
                <w:szCs w:val="22"/>
              </w:rPr>
              <w:t>x</w:t>
            </w:r>
          </w:p>
        </w:tc>
      </w:tr>
      <w:tr w:rsidR="00772B9C" w:rsidRPr="00F4022F" w14:paraId="4EDF7913" w14:textId="77777777" w:rsidTr="0065755A">
        <w:tc>
          <w:tcPr>
            <w:tcW w:w="4423" w:type="dxa"/>
            <w:shd w:val="clear" w:color="auto" w:fill="auto"/>
          </w:tcPr>
          <w:p w14:paraId="5F76DC3C" w14:textId="77777777" w:rsidR="00772B9C" w:rsidRPr="00F4022F" w:rsidRDefault="00772B9C" w:rsidP="00F4022F">
            <w:pPr>
              <w:rPr>
                <w:rFonts w:cs="Arial"/>
                <w:szCs w:val="22"/>
              </w:rPr>
            </w:pPr>
            <w:r w:rsidRPr="00F4022F">
              <w:rPr>
                <w:rFonts w:cs="Arial"/>
                <w:szCs w:val="22"/>
              </w:rPr>
              <w:t>Health and Wellbeing</w:t>
            </w:r>
          </w:p>
          <w:p w14:paraId="6DEBCE7F" w14:textId="77777777" w:rsidR="00772B9C" w:rsidRPr="00F4022F" w:rsidRDefault="00772B9C" w:rsidP="00F4022F">
            <w:pPr>
              <w:rPr>
                <w:rFonts w:cs="Arial"/>
                <w:szCs w:val="22"/>
              </w:rPr>
            </w:pPr>
          </w:p>
        </w:tc>
        <w:tc>
          <w:tcPr>
            <w:tcW w:w="850" w:type="dxa"/>
            <w:shd w:val="clear" w:color="auto" w:fill="auto"/>
          </w:tcPr>
          <w:p w14:paraId="0A5DE323" w14:textId="77777777" w:rsidR="00772B9C" w:rsidRPr="00F4022F" w:rsidRDefault="00AE7921" w:rsidP="00F4022F">
            <w:pPr>
              <w:rPr>
                <w:rFonts w:cs="Arial"/>
                <w:szCs w:val="22"/>
                <w:highlight w:val="yellow"/>
              </w:rPr>
            </w:pPr>
            <w:r w:rsidRPr="00A77703">
              <w:rPr>
                <w:rFonts w:cs="Arial"/>
                <w:szCs w:val="22"/>
              </w:rPr>
              <w:t>x</w:t>
            </w:r>
          </w:p>
        </w:tc>
      </w:tr>
      <w:tr w:rsidR="00772B9C" w:rsidRPr="00F4022F" w14:paraId="3BE120E0" w14:textId="77777777" w:rsidTr="0065755A">
        <w:tc>
          <w:tcPr>
            <w:tcW w:w="4423" w:type="dxa"/>
            <w:shd w:val="clear" w:color="auto" w:fill="auto"/>
          </w:tcPr>
          <w:p w14:paraId="6E34B30E" w14:textId="77777777" w:rsidR="00772B9C" w:rsidRPr="00F4022F" w:rsidRDefault="00772B9C" w:rsidP="00F4022F">
            <w:pPr>
              <w:rPr>
                <w:rFonts w:cs="Arial"/>
                <w:szCs w:val="22"/>
              </w:rPr>
            </w:pPr>
            <w:r w:rsidRPr="00F4022F">
              <w:rPr>
                <w:rFonts w:cs="Arial"/>
                <w:szCs w:val="22"/>
              </w:rPr>
              <w:t>Place</w:t>
            </w:r>
          </w:p>
          <w:p w14:paraId="76C6022A" w14:textId="77777777" w:rsidR="00772B9C" w:rsidRPr="00F4022F" w:rsidRDefault="00772B9C" w:rsidP="00F4022F">
            <w:pPr>
              <w:rPr>
                <w:rFonts w:cs="Arial"/>
                <w:szCs w:val="22"/>
              </w:rPr>
            </w:pPr>
          </w:p>
        </w:tc>
        <w:tc>
          <w:tcPr>
            <w:tcW w:w="850" w:type="dxa"/>
            <w:shd w:val="clear" w:color="auto" w:fill="auto"/>
          </w:tcPr>
          <w:p w14:paraId="254DFC9F" w14:textId="77777777" w:rsidR="00772B9C" w:rsidRPr="00F4022F" w:rsidRDefault="00772B9C" w:rsidP="00F4022F">
            <w:pPr>
              <w:rPr>
                <w:rFonts w:cs="Arial"/>
                <w:szCs w:val="22"/>
              </w:rPr>
            </w:pPr>
          </w:p>
        </w:tc>
      </w:tr>
    </w:tbl>
    <w:p w14:paraId="46B7054B" w14:textId="77777777" w:rsidR="00772B9C" w:rsidRPr="00F4022F" w:rsidRDefault="00772B9C" w:rsidP="00F4022F">
      <w:pPr>
        <w:rPr>
          <w:rFonts w:cs="Arial"/>
          <w:szCs w:val="22"/>
        </w:rPr>
      </w:pPr>
    </w:p>
    <w:p w14:paraId="7652F8DE" w14:textId="77777777" w:rsidR="002F5C5E" w:rsidRPr="00F4022F" w:rsidRDefault="002F5C5E" w:rsidP="00F4022F">
      <w:pPr>
        <w:rPr>
          <w:rFonts w:cs="Arial"/>
          <w:szCs w:val="22"/>
        </w:rPr>
      </w:pPr>
    </w:p>
    <w:p w14:paraId="682248B1" w14:textId="77777777" w:rsidR="000B621E" w:rsidRPr="0052590D" w:rsidRDefault="000B621E" w:rsidP="00A512A3">
      <w:pPr>
        <w:pStyle w:val="ListParagraph"/>
        <w:numPr>
          <w:ilvl w:val="0"/>
          <w:numId w:val="8"/>
        </w:numPr>
        <w:rPr>
          <w:rFonts w:ascii="Arial" w:hAnsi="Arial" w:cs="Arial"/>
          <w:b/>
        </w:rPr>
      </w:pPr>
      <w:r w:rsidRPr="0052590D">
        <w:rPr>
          <w:rFonts w:ascii="Arial" w:hAnsi="Arial" w:cs="Arial"/>
          <w:b/>
        </w:rPr>
        <w:t>RECOMMENDATIONS</w:t>
      </w:r>
    </w:p>
    <w:p w14:paraId="064BABCF" w14:textId="3074096D" w:rsidR="00A512A3" w:rsidRPr="00A512A3" w:rsidRDefault="00B70361" w:rsidP="00A512A3">
      <w:pPr>
        <w:rPr>
          <w:rFonts w:cs="Arial"/>
        </w:rPr>
      </w:pPr>
      <w:r>
        <w:rPr>
          <w:rFonts w:cs="Arial"/>
        </w:rPr>
        <w:t xml:space="preserve">3.1 </w:t>
      </w:r>
      <w:r w:rsidR="008358B8">
        <w:rPr>
          <w:rFonts w:cs="Arial"/>
        </w:rPr>
        <w:t>T</w:t>
      </w:r>
      <w:r w:rsidR="005A1D29">
        <w:rPr>
          <w:rFonts w:cs="Arial"/>
        </w:rPr>
        <w:t xml:space="preserve">hat committee should consider and approve the updated draft Gambling Policy for the purposes of a consultation exercise to be carried out between </w:t>
      </w:r>
      <w:r w:rsidR="008358B8">
        <w:rPr>
          <w:rFonts w:cs="Arial"/>
        </w:rPr>
        <w:t>the 13 September to the 8 November 2018.</w:t>
      </w:r>
    </w:p>
    <w:p w14:paraId="200AE131" w14:textId="77777777" w:rsidR="006D748F" w:rsidRPr="00F4022F" w:rsidRDefault="006D748F" w:rsidP="00F4022F">
      <w:pPr>
        <w:rPr>
          <w:rFonts w:cs="Arial"/>
          <w:b/>
          <w:szCs w:val="22"/>
        </w:rPr>
      </w:pPr>
    </w:p>
    <w:p w14:paraId="5C6DE918" w14:textId="77777777" w:rsidR="006D748F" w:rsidRPr="00F4022F" w:rsidRDefault="006D748F" w:rsidP="00F4022F">
      <w:pPr>
        <w:rPr>
          <w:rFonts w:cs="Arial"/>
          <w:b/>
          <w:szCs w:val="22"/>
        </w:rPr>
      </w:pPr>
    </w:p>
    <w:p w14:paraId="7F9424D1" w14:textId="77777777" w:rsidR="002F5C5E" w:rsidRPr="00117F3E" w:rsidRDefault="002F5C5E" w:rsidP="00954570">
      <w:pPr>
        <w:pStyle w:val="ListParagraph"/>
        <w:numPr>
          <w:ilvl w:val="0"/>
          <w:numId w:val="8"/>
        </w:numPr>
        <w:rPr>
          <w:rFonts w:ascii="Arial" w:hAnsi="Arial" w:cs="Arial"/>
          <w:b/>
        </w:rPr>
      </w:pPr>
      <w:r w:rsidRPr="00117F3E">
        <w:rPr>
          <w:rFonts w:ascii="Arial" w:hAnsi="Arial" w:cs="Arial"/>
          <w:b/>
        </w:rPr>
        <w:t>BACKGROUND TO THE REPORT</w:t>
      </w:r>
    </w:p>
    <w:p w14:paraId="715563BA" w14:textId="77777777" w:rsidR="00A512A3" w:rsidRPr="00A512A3" w:rsidRDefault="00A512A3" w:rsidP="00A512A3">
      <w:pPr>
        <w:rPr>
          <w:rFonts w:cs="Arial"/>
          <w:b/>
        </w:rPr>
      </w:pPr>
    </w:p>
    <w:p w14:paraId="73DFD5DF" w14:textId="40B3C3A7" w:rsidR="0065755A" w:rsidRDefault="008358B8" w:rsidP="00A512A3">
      <w:pPr>
        <w:pStyle w:val="Header"/>
        <w:numPr>
          <w:ilvl w:val="1"/>
          <w:numId w:val="44"/>
        </w:numPr>
        <w:jc w:val="both"/>
      </w:pPr>
      <w:r>
        <w:t xml:space="preserve"> The</w:t>
      </w:r>
      <w:r w:rsidR="00AE7921">
        <w:t xml:space="preserve"> council’s</w:t>
      </w:r>
      <w:r>
        <w:t xml:space="preserve"> Statement of Licensing Policy </w:t>
      </w:r>
      <w:r w:rsidR="0065755A">
        <w:t>(Gambling</w:t>
      </w:r>
      <w:r>
        <w:t xml:space="preserve">) sets out the manner in which the </w:t>
      </w:r>
      <w:r w:rsidR="00AE7921">
        <w:t>council</w:t>
      </w:r>
      <w:r>
        <w:t xml:space="preserve"> will generally promote the Licensing Objectives when considering and making decisions on applications made un</w:t>
      </w:r>
      <w:r>
        <w:lastRenderedPageBreak/>
        <w:t>der the</w:t>
      </w:r>
      <w:r w:rsidR="00AE7921">
        <w:t xml:space="preserve"> Gambling</w:t>
      </w:r>
      <w:r>
        <w:t xml:space="preserve"> Act</w:t>
      </w:r>
      <w:r w:rsidR="00AE7921">
        <w:t xml:space="preserve"> (the Act)</w:t>
      </w:r>
      <w:r>
        <w:t>.</w:t>
      </w:r>
      <w:r w:rsidR="00D75CFE">
        <w:t xml:space="preserve"> The council’s current Statement of Policy is due to expire on the 31of January 2019. Under the Act policies endure for a 3 year period.</w:t>
      </w:r>
      <w:r w:rsidR="0065755A">
        <w:t xml:space="preserve"> </w:t>
      </w:r>
    </w:p>
    <w:p w14:paraId="6D1CBD3A" w14:textId="77777777" w:rsidR="00D41123" w:rsidRDefault="00D41123" w:rsidP="00954570">
      <w:pPr>
        <w:pStyle w:val="Header"/>
        <w:ind w:left="501"/>
        <w:jc w:val="both"/>
      </w:pPr>
    </w:p>
    <w:p w14:paraId="02944599" w14:textId="77777777" w:rsidR="00D41123" w:rsidRDefault="00D41123" w:rsidP="00A512A3">
      <w:pPr>
        <w:pStyle w:val="Header"/>
        <w:numPr>
          <w:ilvl w:val="1"/>
          <w:numId w:val="44"/>
        </w:numPr>
        <w:jc w:val="both"/>
      </w:pPr>
      <w:r>
        <w:t>The licensing ob</w:t>
      </w:r>
      <w:r w:rsidR="00AE7921">
        <w:t>jectives set out in the Act</w:t>
      </w:r>
      <w:r>
        <w:t xml:space="preserve"> are: 1. preventing gambling from being a source of crime or disorder, being associated with crime or disorder or being used to support crime and 2. ensuring that gambling is conducted in a fair and open way and 3. protecting children and other vulnerable persons from being harmed or exploited by gambling</w:t>
      </w:r>
    </w:p>
    <w:p w14:paraId="0D3EA4E0" w14:textId="77777777" w:rsidR="00D41123" w:rsidRDefault="00D41123" w:rsidP="00954570">
      <w:pPr>
        <w:pStyle w:val="ListParagraph"/>
      </w:pPr>
    </w:p>
    <w:p w14:paraId="3747D1E3" w14:textId="77777777" w:rsidR="005A1D29" w:rsidRDefault="00D41123" w:rsidP="00A512A3">
      <w:pPr>
        <w:pStyle w:val="Header"/>
        <w:numPr>
          <w:ilvl w:val="1"/>
          <w:numId w:val="44"/>
        </w:numPr>
        <w:jc w:val="both"/>
      </w:pPr>
      <w:r>
        <w:t>Attached to this report (Appendix 1) is an updated version of our Gambling Policy.</w:t>
      </w:r>
      <w:r w:rsidR="00AE7921" w:rsidRPr="00AE7921">
        <w:t xml:space="preserve"> </w:t>
      </w:r>
      <w:r w:rsidR="00AE7921">
        <w:t>The Policy has been prepared under Section 349 of the Act and in accordance with the Commission’s Guidance for Licensing Authorities issued u</w:t>
      </w:r>
      <w:r w:rsidR="00D75CFE">
        <w:t>nder Section 25 of the Act</w:t>
      </w:r>
      <w:r w:rsidR="00AE7921">
        <w:t xml:space="preserve">.  </w:t>
      </w:r>
      <w:r>
        <w:t xml:space="preserve"> Only relatively minor modifications are being proposed.  </w:t>
      </w:r>
      <w:r w:rsidR="00954570">
        <w:t xml:space="preserve">They include some minor amendments to the Local area Profile, some updates around Data Protection which include reference to the recent change in the law, General Data Protection regulations (GDPR) and more in depth information for operators on Local Risk Assessments, a requirement that came in in April 2016. </w:t>
      </w:r>
    </w:p>
    <w:p w14:paraId="594BB7E3" w14:textId="77777777" w:rsidR="00AE7921" w:rsidRDefault="00AE7921" w:rsidP="00954570">
      <w:pPr>
        <w:pStyle w:val="ListParagraph"/>
      </w:pPr>
    </w:p>
    <w:p w14:paraId="48DA667E" w14:textId="77777777" w:rsidR="00AE7921" w:rsidRDefault="00AE7921" w:rsidP="00A512A3">
      <w:pPr>
        <w:pStyle w:val="Header"/>
        <w:numPr>
          <w:ilvl w:val="1"/>
          <w:numId w:val="44"/>
        </w:numPr>
        <w:jc w:val="both"/>
      </w:pPr>
      <w:r>
        <w:t xml:space="preserve">The council is constrained by the provisions of the Act, the Guidance and any Regulations made under the Act. However, the Authority may depart from the Guidance if it has reason to do so, but must give full justification for any such departure.  </w:t>
      </w:r>
    </w:p>
    <w:p w14:paraId="7D9AC03E" w14:textId="77777777" w:rsidR="00D41123" w:rsidRDefault="00D41123" w:rsidP="00954570">
      <w:pPr>
        <w:pStyle w:val="ListParagraph"/>
      </w:pPr>
    </w:p>
    <w:p w14:paraId="34CE0DE0" w14:textId="5EC2FD78" w:rsidR="00AE7921" w:rsidRDefault="00D41123" w:rsidP="00A512A3">
      <w:pPr>
        <w:pStyle w:val="Header"/>
        <w:numPr>
          <w:ilvl w:val="1"/>
          <w:numId w:val="44"/>
        </w:numPr>
        <w:jc w:val="both"/>
      </w:pPr>
      <w:r>
        <w:t>Committee’</w:t>
      </w:r>
      <w:r w:rsidR="00AE7921">
        <w:t>s approval to</w:t>
      </w:r>
      <w:r>
        <w:t xml:space="preserve"> this draft gambling policy is now sought. An extensive consultation exercise will need to be carried out on this draft policy. This consultation exercise will take place between the 13 of September to the 8 of November. </w:t>
      </w:r>
    </w:p>
    <w:p w14:paraId="5FF70DE2" w14:textId="77777777" w:rsidR="00AE7921" w:rsidRDefault="00AE7921" w:rsidP="00954570">
      <w:pPr>
        <w:pStyle w:val="ListParagraph"/>
      </w:pPr>
    </w:p>
    <w:p w14:paraId="23DC8A32" w14:textId="77777777" w:rsidR="00D41123" w:rsidRDefault="00D41123" w:rsidP="00A512A3">
      <w:pPr>
        <w:pStyle w:val="Header"/>
        <w:numPr>
          <w:ilvl w:val="1"/>
          <w:numId w:val="44"/>
        </w:numPr>
        <w:jc w:val="both"/>
      </w:pPr>
      <w:r>
        <w:t xml:space="preserve"> </w:t>
      </w:r>
      <w:r w:rsidR="00AE7921">
        <w:t>Following the completion of the consultation exercise the draft policy will be brought back to this committee for further consideration and ultimately to</w:t>
      </w:r>
      <w:r w:rsidR="00D75CFE">
        <w:t xml:space="preserve"> full Council for final adoption.</w:t>
      </w:r>
    </w:p>
    <w:p w14:paraId="5EAE53A3" w14:textId="77777777" w:rsidR="00D75CFE" w:rsidRDefault="00D75CFE" w:rsidP="00954570">
      <w:pPr>
        <w:pStyle w:val="ListParagraph"/>
      </w:pPr>
    </w:p>
    <w:p w14:paraId="60CB8C40" w14:textId="77777777" w:rsidR="00D75CFE" w:rsidRDefault="00D75CFE" w:rsidP="00A512A3">
      <w:pPr>
        <w:pStyle w:val="Header"/>
        <w:numPr>
          <w:ilvl w:val="1"/>
          <w:numId w:val="44"/>
        </w:numPr>
        <w:jc w:val="both"/>
      </w:pPr>
      <w:r>
        <w:t>The council is required by Section 349 of the Act to publish a new Gambling policy by the 31</w:t>
      </w:r>
      <w:r w:rsidRPr="00954570">
        <w:rPr>
          <w:vertAlign w:val="superscript"/>
        </w:rPr>
        <w:t>st</w:t>
      </w:r>
      <w:r>
        <w:t xml:space="preserve"> of January 2019. This Statement of Policy shall be effective from the 31</w:t>
      </w:r>
      <w:r w:rsidRPr="005F057E">
        <w:rPr>
          <w:vertAlign w:val="superscript"/>
        </w:rPr>
        <w:t>st</w:t>
      </w:r>
      <w:r>
        <w:t xml:space="preserve"> January 2019, and shall remain in effect for three years; therefore this Statement will be reviewed in January 2022.</w:t>
      </w:r>
    </w:p>
    <w:p w14:paraId="7BD04CA3" w14:textId="77777777" w:rsidR="00DE2DDF" w:rsidRDefault="00DE2DDF" w:rsidP="00954570">
      <w:pPr>
        <w:pStyle w:val="ListParagraph"/>
      </w:pPr>
    </w:p>
    <w:p w14:paraId="0118FDCF" w14:textId="7982D309" w:rsidR="00DE2DDF" w:rsidRDefault="00DE2DDF" w:rsidP="00A512A3">
      <w:pPr>
        <w:pStyle w:val="Header"/>
        <w:numPr>
          <w:ilvl w:val="1"/>
          <w:numId w:val="44"/>
        </w:numPr>
        <w:jc w:val="both"/>
      </w:pPr>
      <w:r>
        <w:t>By way of information the following activities in our borough are covered by the provisions of the Act namely</w:t>
      </w:r>
      <w:r w:rsidR="00117F3E">
        <w:t>:</w:t>
      </w:r>
      <w:r w:rsidR="00117F3E" w:rsidRPr="00117F3E">
        <w:t xml:space="preserve"> </w:t>
      </w:r>
      <w:r w:rsidR="00117F3E">
        <w:t xml:space="preserve">Betting Shops, Adult Gaming Centres and the offer of gaming machines in Licensed Premises and Club </w:t>
      </w:r>
      <w:r w:rsidR="00117F3E">
        <w:lastRenderedPageBreak/>
        <w:t>Premises. South Ribble does not have a particularly wide offer of Gambling establishments with 12 Betting shops, most of which are national operators and 1 Adult Gaming Centre located on Hough Lane in Leyland. The gaming machine offer is much broader with virtually every Licensed Premises in the Borough taking advantage of the right to site machines in their premises</w:t>
      </w:r>
    </w:p>
    <w:p w14:paraId="36CD9397" w14:textId="77777777" w:rsidR="00D41123" w:rsidRDefault="00D41123" w:rsidP="00117F3E">
      <w:pPr>
        <w:pStyle w:val="Header"/>
        <w:ind w:left="501"/>
        <w:jc w:val="both"/>
      </w:pPr>
    </w:p>
    <w:p w14:paraId="685907D6" w14:textId="0EFBB367" w:rsidR="00A512A3" w:rsidRPr="006B559E" w:rsidRDefault="0065755A" w:rsidP="00A512A3">
      <w:pPr>
        <w:pStyle w:val="Header"/>
        <w:jc w:val="both"/>
      </w:pPr>
      <w:r>
        <w:t xml:space="preserve"> </w:t>
      </w:r>
    </w:p>
    <w:p w14:paraId="3A8E7AC8" w14:textId="77777777" w:rsidR="001938D6" w:rsidRPr="00F4022F" w:rsidRDefault="006D748F" w:rsidP="00F4022F">
      <w:pPr>
        <w:rPr>
          <w:rFonts w:cs="Arial"/>
          <w:b/>
          <w:szCs w:val="22"/>
        </w:rPr>
      </w:pPr>
      <w:r w:rsidRPr="00117F3E">
        <w:rPr>
          <w:rFonts w:cs="Arial"/>
          <w:b/>
          <w:szCs w:val="22"/>
        </w:rPr>
        <w:t>5</w:t>
      </w:r>
      <w:r w:rsidR="002F5C5E" w:rsidRPr="00117F3E">
        <w:rPr>
          <w:rFonts w:cs="Arial"/>
          <w:b/>
          <w:szCs w:val="22"/>
        </w:rPr>
        <w:t>.</w:t>
      </w:r>
      <w:r w:rsidR="00B70361" w:rsidRPr="00117F3E">
        <w:rPr>
          <w:rFonts w:cs="Arial"/>
          <w:b/>
          <w:szCs w:val="22"/>
        </w:rPr>
        <w:t>0</w:t>
      </w:r>
      <w:r w:rsidR="002F5C5E" w:rsidRPr="0052590D">
        <w:rPr>
          <w:rFonts w:cs="Arial"/>
          <w:szCs w:val="22"/>
        </w:rPr>
        <w:t xml:space="preserve"> </w:t>
      </w:r>
      <w:r w:rsidR="00117F3E">
        <w:rPr>
          <w:rFonts w:cs="Arial"/>
          <w:szCs w:val="22"/>
        </w:rPr>
        <w:t xml:space="preserve">  </w:t>
      </w:r>
      <w:r w:rsidR="0065755A">
        <w:rPr>
          <w:rFonts w:cs="Arial"/>
          <w:b/>
          <w:szCs w:val="22"/>
        </w:rPr>
        <w:t>PROPOSSED CONSULTATION PERIOD AND CONSULTEES</w:t>
      </w:r>
      <w:r w:rsidR="001938D6" w:rsidRPr="00F4022F">
        <w:rPr>
          <w:rFonts w:cs="Arial"/>
          <w:b/>
          <w:szCs w:val="22"/>
        </w:rPr>
        <w:t xml:space="preserve"> </w:t>
      </w:r>
    </w:p>
    <w:p w14:paraId="07091391" w14:textId="77777777" w:rsidR="009674A1" w:rsidRPr="00F4022F" w:rsidRDefault="009674A1" w:rsidP="00F4022F">
      <w:pPr>
        <w:rPr>
          <w:rFonts w:cs="Arial"/>
          <w:b/>
          <w:szCs w:val="22"/>
        </w:rPr>
      </w:pPr>
    </w:p>
    <w:p w14:paraId="02404B0A" w14:textId="77777777" w:rsidR="009674A1" w:rsidRPr="00B55755" w:rsidRDefault="00B70361" w:rsidP="00F4022F">
      <w:pPr>
        <w:rPr>
          <w:rFonts w:cs="Arial"/>
          <w:szCs w:val="22"/>
        </w:rPr>
      </w:pPr>
      <w:r>
        <w:rPr>
          <w:rFonts w:cs="Arial"/>
          <w:szCs w:val="22"/>
        </w:rPr>
        <w:t xml:space="preserve">5.1 </w:t>
      </w:r>
      <w:r w:rsidR="0065755A">
        <w:rPr>
          <w:rFonts w:cs="Arial"/>
          <w:szCs w:val="22"/>
        </w:rPr>
        <w:t>A list of the proposed consultees is found at Annex 1 on the</w:t>
      </w:r>
      <w:r w:rsidR="00117F3E">
        <w:rPr>
          <w:rFonts w:cs="Arial"/>
          <w:szCs w:val="22"/>
        </w:rPr>
        <w:t xml:space="preserve"> draft</w:t>
      </w:r>
      <w:r w:rsidR="0065755A">
        <w:rPr>
          <w:rFonts w:cs="Arial"/>
          <w:szCs w:val="22"/>
        </w:rPr>
        <w:t xml:space="preserve"> Statement of Policy (SOP)</w:t>
      </w:r>
      <w:r w:rsidR="005A1D29">
        <w:rPr>
          <w:rFonts w:cs="Arial"/>
          <w:szCs w:val="22"/>
        </w:rPr>
        <w:t>.</w:t>
      </w:r>
    </w:p>
    <w:p w14:paraId="778B7C4C" w14:textId="77777777" w:rsidR="00BC63A8" w:rsidRPr="00B55755" w:rsidRDefault="00BC63A8" w:rsidP="00F4022F">
      <w:pPr>
        <w:rPr>
          <w:rFonts w:cs="Arial"/>
          <w:szCs w:val="22"/>
        </w:rPr>
      </w:pPr>
    </w:p>
    <w:p w14:paraId="3D2C5C42" w14:textId="77777777" w:rsidR="00BC63A8" w:rsidRPr="00B55755" w:rsidRDefault="00B70361" w:rsidP="00F4022F">
      <w:pPr>
        <w:rPr>
          <w:rFonts w:cs="Arial"/>
          <w:szCs w:val="22"/>
        </w:rPr>
      </w:pPr>
      <w:r>
        <w:rPr>
          <w:rFonts w:cs="Arial"/>
          <w:szCs w:val="22"/>
        </w:rPr>
        <w:t xml:space="preserve">5.2 </w:t>
      </w:r>
      <w:r w:rsidR="0065755A">
        <w:rPr>
          <w:rFonts w:cs="Arial"/>
          <w:szCs w:val="22"/>
        </w:rPr>
        <w:t>The Proposed period of consultation is 8 weeks, commencing on the 13</w:t>
      </w:r>
      <w:r w:rsidR="0065755A" w:rsidRPr="005F057E">
        <w:rPr>
          <w:rFonts w:cs="Arial"/>
          <w:szCs w:val="22"/>
          <w:vertAlign w:val="superscript"/>
        </w:rPr>
        <w:t>th</w:t>
      </w:r>
      <w:r w:rsidR="0065755A">
        <w:rPr>
          <w:rFonts w:cs="Arial"/>
          <w:szCs w:val="22"/>
        </w:rPr>
        <w:t xml:space="preserve"> September and concluding on the 8</w:t>
      </w:r>
      <w:r w:rsidR="0065755A" w:rsidRPr="005F057E">
        <w:rPr>
          <w:rFonts w:cs="Arial"/>
          <w:szCs w:val="22"/>
          <w:vertAlign w:val="superscript"/>
        </w:rPr>
        <w:t>th</w:t>
      </w:r>
      <w:r w:rsidR="0065755A">
        <w:rPr>
          <w:rFonts w:cs="Arial"/>
          <w:szCs w:val="22"/>
        </w:rPr>
        <w:t xml:space="preserve"> November 2018. The intention thereafter is to bring any r</w:t>
      </w:r>
      <w:r w:rsidR="005F057E">
        <w:rPr>
          <w:rFonts w:cs="Arial"/>
          <w:szCs w:val="22"/>
        </w:rPr>
        <w:t>esponses back before the GLC on the 20</w:t>
      </w:r>
      <w:r w:rsidR="005F057E" w:rsidRPr="005F057E">
        <w:rPr>
          <w:rFonts w:cs="Arial"/>
          <w:szCs w:val="22"/>
          <w:vertAlign w:val="superscript"/>
        </w:rPr>
        <w:t>th</w:t>
      </w:r>
      <w:r w:rsidR="005F057E">
        <w:rPr>
          <w:rFonts w:cs="Arial"/>
          <w:szCs w:val="22"/>
        </w:rPr>
        <w:t xml:space="preserve"> November 2018.</w:t>
      </w:r>
      <w:r w:rsidR="005A1D29">
        <w:rPr>
          <w:rFonts w:cs="Arial"/>
          <w:szCs w:val="22"/>
        </w:rPr>
        <w:t xml:space="preserve"> </w:t>
      </w:r>
    </w:p>
    <w:p w14:paraId="69DC2910" w14:textId="77777777" w:rsidR="00B55755" w:rsidRPr="00B55755" w:rsidRDefault="00B55755" w:rsidP="00F4022F">
      <w:pPr>
        <w:rPr>
          <w:rFonts w:cs="Arial"/>
          <w:szCs w:val="22"/>
        </w:rPr>
      </w:pPr>
    </w:p>
    <w:p w14:paraId="3E2049E4" w14:textId="77777777" w:rsidR="00E51346" w:rsidRPr="00F4022F" w:rsidRDefault="00E51346" w:rsidP="00F4022F">
      <w:pPr>
        <w:rPr>
          <w:rFonts w:cs="Arial"/>
          <w:szCs w:val="22"/>
        </w:rPr>
      </w:pPr>
    </w:p>
    <w:p w14:paraId="77BF8C10" w14:textId="77777777" w:rsidR="00F43895" w:rsidRPr="00F4022F" w:rsidRDefault="005F057E" w:rsidP="00F4022F">
      <w:pPr>
        <w:rPr>
          <w:rFonts w:cs="Arial"/>
          <w:b/>
          <w:szCs w:val="22"/>
        </w:rPr>
      </w:pPr>
      <w:r>
        <w:rPr>
          <w:rFonts w:cs="Arial"/>
          <w:b/>
          <w:szCs w:val="22"/>
        </w:rPr>
        <w:t>6</w:t>
      </w:r>
      <w:r w:rsidR="00F43895" w:rsidRPr="00F4022F">
        <w:rPr>
          <w:rFonts w:cs="Arial"/>
          <w:b/>
          <w:szCs w:val="22"/>
        </w:rPr>
        <w:t xml:space="preserve">.    </w:t>
      </w:r>
      <w:r w:rsidR="00F43895" w:rsidRPr="00F4022F">
        <w:rPr>
          <w:rFonts w:cs="Arial"/>
          <w:b/>
          <w:caps/>
          <w:szCs w:val="22"/>
        </w:rPr>
        <w:t>Financial implications</w:t>
      </w:r>
    </w:p>
    <w:p w14:paraId="0A6D32A8" w14:textId="77777777" w:rsidR="00F43895" w:rsidRPr="00F4022F" w:rsidRDefault="00F43895" w:rsidP="00F4022F">
      <w:pPr>
        <w:ind w:left="567"/>
        <w:rPr>
          <w:rFonts w:cs="Arial"/>
          <w:b/>
          <w:caps/>
          <w:szCs w:val="22"/>
        </w:rPr>
      </w:pPr>
    </w:p>
    <w:p w14:paraId="1A3D1FCA" w14:textId="77777777" w:rsidR="00F43895" w:rsidRPr="005C1F1E" w:rsidRDefault="005C1F1E" w:rsidP="005C1F1E">
      <w:pPr>
        <w:rPr>
          <w:rFonts w:cs="Arial"/>
          <w:caps/>
        </w:rPr>
      </w:pPr>
      <w:r w:rsidRPr="005C1F1E">
        <w:rPr>
          <w:rFonts w:cs="Arial"/>
        </w:rPr>
        <w:t>There are no</w:t>
      </w:r>
      <w:r>
        <w:rPr>
          <w:rFonts w:cs="Arial"/>
        </w:rPr>
        <w:t>ne.</w:t>
      </w:r>
    </w:p>
    <w:p w14:paraId="35F94A2C" w14:textId="77777777" w:rsidR="00F43895" w:rsidRPr="00F4022F" w:rsidRDefault="00F43895" w:rsidP="00F4022F">
      <w:pPr>
        <w:rPr>
          <w:rFonts w:cs="Arial"/>
          <w:b/>
          <w:szCs w:val="22"/>
        </w:rPr>
      </w:pPr>
    </w:p>
    <w:p w14:paraId="379F3FE5" w14:textId="77777777" w:rsidR="00F43895" w:rsidRDefault="005F057E" w:rsidP="00F4022F">
      <w:pPr>
        <w:rPr>
          <w:rFonts w:cs="Arial"/>
          <w:b/>
          <w:caps/>
          <w:szCs w:val="22"/>
        </w:rPr>
      </w:pPr>
      <w:r>
        <w:rPr>
          <w:rFonts w:cs="Arial"/>
          <w:b/>
          <w:caps/>
          <w:szCs w:val="22"/>
        </w:rPr>
        <w:t>7</w:t>
      </w:r>
      <w:r w:rsidR="00F43895" w:rsidRPr="00F4022F">
        <w:rPr>
          <w:rFonts w:cs="Arial"/>
          <w:b/>
          <w:caps/>
          <w:szCs w:val="22"/>
        </w:rPr>
        <w:t>.    LEGAL IMPLICATIONS</w:t>
      </w:r>
    </w:p>
    <w:p w14:paraId="7362F9B9" w14:textId="77777777" w:rsidR="00D75CFE" w:rsidRDefault="00D75CFE" w:rsidP="00F4022F">
      <w:pPr>
        <w:rPr>
          <w:rFonts w:cs="Arial"/>
          <w:b/>
          <w:caps/>
          <w:szCs w:val="22"/>
        </w:rPr>
      </w:pPr>
    </w:p>
    <w:p w14:paraId="37131DA0" w14:textId="069D8C85" w:rsidR="00D75CFE" w:rsidRPr="00A77703" w:rsidRDefault="00A77703" w:rsidP="00F4022F">
      <w:pPr>
        <w:rPr>
          <w:rFonts w:cs="Arial"/>
          <w:caps/>
          <w:szCs w:val="22"/>
        </w:rPr>
      </w:pPr>
      <w:r>
        <w:rPr>
          <w:rFonts w:cs="Arial"/>
          <w:caps/>
          <w:szCs w:val="22"/>
        </w:rPr>
        <w:t>p</w:t>
      </w:r>
      <w:r w:rsidR="00D75CFE" w:rsidRPr="00A77703">
        <w:rPr>
          <w:rFonts w:cs="Arial"/>
          <w:caps/>
          <w:szCs w:val="22"/>
        </w:rPr>
        <w:t>lease see the comments of the monitoring officer</w:t>
      </w:r>
    </w:p>
    <w:p w14:paraId="736460DC" w14:textId="77777777" w:rsidR="005F057E" w:rsidRDefault="005F057E" w:rsidP="00F4022F">
      <w:pPr>
        <w:rPr>
          <w:rFonts w:cs="Arial"/>
          <w:b/>
          <w:caps/>
          <w:szCs w:val="22"/>
        </w:rPr>
      </w:pPr>
    </w:p>
    <w:p w14:paraId="6CE4BAAD" w14:textId="77777777" w:rsidR="005F057E" w:rsidRPr="00F4022F" w:rsidRDefault="005F057E" w:rsidP="00F4022F">
      <w:pPr>
        <w:rPr>
          <w:rFonts w:cs="Arial"/>
          <w:caps/>
          <w:szCs w:val="22"/>
        </w:rPr>
      </w:pPr>
    </w:p>
    <w:p w14:paraId="1DDA6846" w14:textId="77777777" w:rsidR="00F43895" w:rsidRPr="00F4022F" w:rsidRDefault="00F43895" w:rsidP="00F4022F">
      <w:pPr>
        <w:rPr>
          <w:rFonts w:cs="Arial"/>
          <w:caps/>
          <w:szCs w:val="22"/>
        </w:rPr>
      </w:pPr>
    </w:p>
    <w:p w14:paraId="5EDF0EC8" w14:textId="77777777" w:rsidR="00F43895" w:rsidRPr="00F4022F" w:rsidRDefault="00D75CFE" w:rsidP="00F4022F">
      <w:pPr>
        <w:rPr>
          <w:rFonts w:cs="Arial"/>
          <w:b/>
          <w:szCs w:val="22"/>
        </w:rPr>
      </w:pPr>
      <w:r>
        <w:rPr>
          <w:rFonts w:cs="Arial"/>
          <w:b/>
          <w:szCs w:val="22"/>
        </w:rPr>
        <w:t>8</w:t>
      </w:r>
      <w:r w:rsidR="00F43895" w:rsidRPr="00F4022F">
        <w:rPr>
          <w:rFonts w:cs="Arial"/>
          <w:b/>
          <w:szCs w:val="22"/>
        </w:rPr>
        <w:t>.  COMMENTS OF THE STATUTORY FINANCE OFFICER</w:t>
      </w:r>
    </w:p>
    <w:p w14:paraId="2E470831" w14:textId="77777777" w:rsidR="005C1F1E" w:rsidRDefault="005C1F1E" w:rsidP="005C1F1E">
      <w:pPr>
        <w:rPr>
          <w:rFonts w:cs="Arial"/>
        </w:rPr>
      </w:pPr>
    </w:p>
    <w:p w14:paraId="76120B1A" w14:textId="77777777" w:rsidR="005C1F1E" w:rsidRPr="005C1F1E" w:rsidRDefault="005C1F1E" w:rsidP="005C1F1E">
      <w:pPr>
        <w:rPr>
          <w:rFonts w:cs="Arial"/>
          <w:caps/>
        </w:rPr>
      </w:pPr>
      <w:r w:rsidRPr="005C1F1E">
        <w:rPr>
          <w:rFonts w:cs="Arial"/>
        </w:rPr>
        <w:t>There are no financial implications arising as a result of the recommendations in this report.</w:t>
      </w:r>
    </w:p>
    <w:p w14:paraId="2D40D357" w14:textId="77777777" w:rsidR="00BE2A3F" w:rsidRPr="00F4022F" w:rsidRDefault="00BE2A3F" w:rsidP="00F4022F">
      <w:pPr>
        <w:rPr>
          <w:rFonts w:cs="Arial"/>
          <w:b/>
          <w:szCs w:val="22"/>
        </w:rPr>
      </w:pPr>
    </w:p>
    <w:p w14:paraId="2AF883DA" w14:textId="77777777" w:rsidR="003F0035" w:rsidRPr="00F4022F" w:rsidRDefault="003F0035" w:rsidP="00F4022F">
      <w:pPr>
        <w:rPr>
          <w:rFonts w:cs="Arial"/>
          <w:b/>
          <w:i/>
          <w:szCs w:val="22"/>
        </w:rPr>
      </w:pPr>
    </w:p>
    <w:p w14:paraId="1AE71478" w14:textId="77777777" w:rsidR="00F43895" w:rsidRDefault="00D75CFE" w:rsidP="00F4022F">
      <w:pPr>
        <w:rPr>
          <w:rFonts w:cs="Arial"/>
          <w:b/>
          <w:szCs w:val="22"/>
        </w:rPr>
      </w:pPr>
      <w:r>
        <w:rPr>
          <w:rFonts w:cs="Arial"/>
          <w:b/>
          <w:szCs w:val="22"/>
        </w:rPr>
        <w:t>9</w:t>
      </w:r>
      <w:r w:rsidR="00BE2A3F" w:rsidRPr="00F4022F">
        <w:rPr>
          <w:rFonts w:cs="Arial"/>
          <w:b/>
          <w:szCs w:val="22"/>
        </w:rPr>
        <w:t xml:space="preserve">.  </w:t>
      </w:r>
      <w:r w:rsidR="00F43895" w:rsidRPr="00F4022F">
        <w:rPr>
          <w:rFonts w:cs="Arial"/>
          <w:b/>
          <w:szCs w:val="22"/>
        </w:rPr>
        <w:t>COMMENTS OF THE MONITORING OFFICER</w:t>
      </w:r>
    </w:p>
    <w:p w14:paraId="2E090401" w14:textId="77777777" w:rsidR="005F057E" w:rsidRDefault="005F057E" w:rsidP="00F4022F">
      <w:pPr>
        <w:rPr>
          <w:rFonts w:cs="Arial"/>
          <w:b/>
          <w:szCs w:val="22"/>
        </w:rPr>
      </w:pPr>
    </w:p>
    <w:p w14:paraId="2AEB6DFC" w14:textId="77777777" w:rsidR="00D75CFE" w:rsidRDefault="00117F3E" w:rsidP="00F4022F">
      <w:pPr>
        <w:rPr>
          <w:rFonts w:cs="Arial"/>
          <w:b/>
          <w:szCs w:val="22"/>
        </w:rPr>
      </w:pPr>
      <w:r>
        <w:rPr>
          <w:rFonts w:cs="Arial"/>
          <w:b/>
          <w:szCs w:val="22"/>
        </w:rPr>
        <w:t>9</w:t>
      </w:r>
      <w:r w:rsidR="00D75CFE">
        <w:rPr>
          <w:rFonts w:cs="Arial"/>
          <w:b/>
          <w:szCs w:val="22"/>
        </w:rPr>
        <w:t xml:space="preserve">.1 </w:t>
      </w:r>
      <w:r w:rsidR="00D75CFE" w:rsidRPr="00117F3E">
        <w:rPr>
          <w:rFonts w:cs="Arial"/>
          <w:szCs w:val="22"/>
        </w:rPr>
        <w:t>Section 349 of the Act states that before each successive period of three years a council should</w:t>
      </w:r>
      <w:r w:rsidR="001C796D" w:rsidRPr="00117F3E">
        <w:rPr>
          <w:rFonts w:cs="Arial"/>
          <w:szCs w:val="22"/>
        </w:rPr>
        <w:t xml:space="preserve"> prepare</w:t>
      </w:r>
      <w:r w:rsidR="00D75CFE" w:rsidRPr="00117F3E">
        <w:rPr>
          <w:rFonts w:cs="Arial"/>
          <w:szCs w:val="22"/>
        </w:rPr>
        <w:t xml:space="preserve"> a statement of principles (policy) that they propose to apply when exercising their functions under the act and publish such a statement. Our current policy is due to expire on the 31</w:t>
      </w:r>
      <w:r w:rsidR="00D75CFE" w:rsidRPr="00117F3E">
        <w:rPr>
          <w:rFonts w:cs="Arial"/>
          <w:szCs w:val="22"/>
          <w:vertAlign w:val="superscript"/>
        </w:rPr>
        <w:t>st</w:t>
      </w:r>
      <w:r w:rsidR="00D75CFE" w:rsidRPr="00117F3E">
        <w:rPr>
          <w:rFonts w:cs="Arial"/>
          <w:szCs w:val="22"/>
        </w:rPr>
        <w:t xml:space="preserve"> of January 2019. Prior to introducing any new policy it is necessary to carry out an extensive consultation exercise on the contents of the proposed new policy. Ultimately the final adoption of any policy will be a decision for full Council.</w:t>
      </w:r>
    </w:p>
    <w:p w14:paraId="24E72B4C" w14:textId="77777777" w:rsidR="005F057E" w:rsidRPr="00F4022F" w:rsidRDefault="005F057E" w:rsidP="00F4022F">
      <w:pPr>
        <w:rPr>
          <w:rFonts w:cs="Arial"/>
          <w:b/>
          <w:szCs w:val="22"/>
        </w:rPr>
      </w:pPr>
    </w:p>
    <w:p w14:paraId="5374D8C7" w14:textId="77777777" w:rsidR="00AC364B" w:rsidRDefault="00AC364B" w:rsidP="00F4022F">
      <w:pPr>
        <w:rPr>
          <w:rFonts w:cs="Arial"/>
          <w:b/>
          <w:szCs w:val="22"/>
        </w:rPr>
      </w:pPr>
    </w:p>
    <w:p w14:paraId="44AD1FC9" w14:textId="77777777" w:rsidR="000B5251" w:rsidRPr="00F4022F" w:rsidRDefault="007428DA" w:rsidP="00F4022F">
      <w:pPr>
        <w:rPr>
          <w:rFonts w:cs="Arial"/>
          <w:b/>
          <w:szCs w:val="22"/>
        </w:rPr>
      </w:pPr>
      <w:r>
        <w:rPr>
          <w:rFonts w:cs="Arial"/>
          <w:b/>
          <w:szCs w:val="22"/>
        </w:rPr>
        <w:t>1</w:t>
      </w:r>
      <w:r w:rsidR="00D75CFE">
        <w:rPr>
          <w:rFonts w:cs="Arial"/>
          <w:b/>
          <w:szCs w:val="22"/>
        </w:rPr>
        <w:t>0</w:t>
      </w:r>
      <w:r w:rsidR="000C24D0" w:rsidRPr="00F4022F">
        <w:rPr>
          <w:rFonts w:cs="Arial"/>
          <w:b/>
          <w:szCs w:val="22"/>
        </w:rPr>
        <w:t xml:space="preserve">.  </w:t>
      </w:r>
      <w:r w:rsidR="000B5251" w:rsidRPr="00F4022F">
        <w:rPr>
          <w:rFonts w:cs="Arial"/>
          <w:b/>
          <w:szCs w:val="22"/>
        </w:rPr>
        <w:t xml:space="preserve">OTHER IMPLICATIONS: </w:t>
      </w:r>
    </w:p>
    <w:p w14:paraId="40A94586" w14:textId="77777777" w:rsidR="003C36EB" w:rsidRPr="00F4022F" w:rsidRDefault="003C36EB" w:rsidP="00F4022F">
      <w:pPr>
        <w:rPr>
          <w:rFonts w:cs="Arial"/>
          <w:b/>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2F5C5E" w:rsidRPr="00F4022F" w14:paraId="302A875B" w14:textId="77777777" w:rsidTr="009C1143">
        <w:trPr>
          <w:trHeight w:val="334"/>
        </w:trPr>
        <w:tc>
          <w:tcPr>
            <w:tcW w:w="3544" w:type="dxa"/>
            <w:shd w:val="clear" w:color="auto" w:fill="auto"/>
          </w:tcPr>
          <w:p w14:paraId="38DD07E9" w14:textId="77777777" w:rsidR="002F5C5E" w:rsidRPr="00F4022F" w:rsidRDefault="002F5C5E" w:rsidP="00F4022F">
            <w:pPr>
              <w:rPr>
                <w:rFonts w:cs="Arial"/>
                <w:b/>
                <w:szCs w:val="22"/>
              </w:rPr>
            </w:pPr>
          </w:p>
          <w:p w14:paraId="12855482" w14:textId="77777777" w:rsidR="00A56681" w:rsidRPr="00F4022F" w:rsidRDefault="00A56681" w:rsidP="00F4022F">
            <w:pPr>
              <w:numPr>
                <w:ilvl w:val="0"/>
                <w:numId w:val="11"/>
              </w:numPr>
              <w:ind w:left="360"/>
              <w:rPr>
                <w:rFonts w:cs="Arial"/>
                <w:b/>
                <w:szCs w:val="22"/>
              </w:rPr>
            </w:pPr>
            <w:r w:rsidRPr="00F4022F">
              <w:rPr>
                <w:rFonts w:cs="Arial"/>
                <w:b/>
                <w:szCs w:val="22"/>
              </w:rPr>
              <w:t xml:space="preserve">HR &amp; Organisational Development </w:t>
            </w:r>
          </w:p>
          <w:p w14:paraId="2007B10E" w14:textId="77777777" w:rsidR="00A56681" w:rsidRPr="00F4022F" w:rsidRDefault="00A56681" w:rsidP="00F4022F">
            <w:pPr>
              <w:ind w:left="360"/>
              <w:rPr>
                <w:rFonts w:cs="Arial"/>
                <w:b/>
                <w:szCs w:val="22"/>
              </w:rPr>
            </w:pPr>
          </w:p>
          <w:p w14:paraId="622037E8" w14:textId="77777777" w:rsidR="00A56681" w:rsidRPr="00F4022F" w:rsidRDefault="00A56681" w:rsidP="00F4022F">
            <w:pPr>
              <w:numPr>
                <w:ilvl w:val="0"/>
                <w:numId w:val="11"/>
              </w:numPr>
              <w:ind w:left="360"/>
              <w:rPr>
                <w:rFonts w:cs="Arial"/>
                <w:b/>
                <w:szCs w:val="22"/>
              </w:rPr>
            </w:pPr>
            <w:r w:rsidRPr="00F4022F">
              <w:rPr>
                <w:rFonts w:cs="Arial"/>
                <w:b/>
                <w:szCs w:val="22"/>
              </w:rPr>
              <w:t>ICT / Technology</w:t>
            </w:r>
          </w:p>
          <w:p w14:paraId="090DA69C" w14:textId="77777777" w:rsidR="002F5C5E" w:rsidRPr="00F4022F" w:rsidRDefault="002F5C5E" w:rsidP="00F4022F">
            <w:pPr>
              <w:ind w:left="360"/>
              <w:rPr>
                <w:rFonts w:cs="Arial"/>
                <w:b/>
                <w:szCs w:val="22"/>
              </w:rPr>
            </w:pPr>
          </w:p>
          <w:p w14:paraId="6BBD74A7" w14:textId="77777777" w:rsidR="002F5C5E" w:rsidRPr="00F4022F" w:rsidRDefault="002F5C5E" w:rsidP="00F4022F">
            <w:pPr>
              <w:rPr>
                <w:rFonts w:cs="Arial"/>
                <w:b/>
                <w:szCs w:val="22"/>
              </w:rPr>
            </w:pPr>
          </w:p>
          <w:p w14:paraId="5E311D88" w14:textId="77777777" w:rsidR="00A56681" w:rsidRPr="00F4022F" w:rsidRDefault="00A56681" w:rsidP="00F4022F">
            <w:pPr>
              <w:numPr>
                <w:ilvl w:val="0"/>
                <w:numId w:val="11"/>
              </w:numPr>
              <w:ind w:left="360"/>
              <w:rPr>
                <w:rFonts w:cs="Arial"/>
                <w:b/>
                <w:szCs w:val="22"/>
              </w:rPr>
            </w:pPr>
            <w:r w:rsidRPr="00F4022F">
              <w:rPr>
                <w:rFonts w:cs="Arial"/>
                <w:b/>
                <w:szCs w:val="22"/>
              </w:rPr>
              <w:t>Property &amp; Asset Management</w:t>
            </w:r>
          </w:p>
          <w:p w14:paraId="1D46D5C8" w14:textId="77777777" w:rsidR="00A56681" w:rsidRPr="00F4022F" w:rsidRDefault="00A56681" w:rsidP="00F4022F">
            <w:pPr>
              <w:ind w:left="360"/>
              <w:rPr>
                <w:rFonts w:cs="Arial"/>
                <w:b/>
                <w:szCs w:val="22"/>
              </w:rPr>
            </w:pPr>
          </w:p>
          <w:p w14:paraId="4184184C" w14:textId="77777777" w:rsidR="002F5C5E" w:rsidRPr="00F4022F" w:rsidRDefault="00A56681" w:rsidP="00F4022F">
            <w:pPr>
              <w:numPr>
                <w:ilvl w:val="0"/>
                <w:numId w:val="11"/>
              </w:numPr>
              <w:ind w:left="360"/>
              <w:rPr>
                <w:rFonts w:cs="Arial"/>
                <w:b/>
                <w:szCs w:val="22"/>
              </w:rPr>
            </w:pPr>
            <w:r w:rsidRPr="00F4022F">
              <w:rPr>
                <w:rFonts w:cs="Arial"/>
                <w:b/>
                <w:szCs w:val="22"/>
              </w:rPr>
              <w:t xml:space="preserve">Risk </w:t>
            </w:r>
          </w:p>
          <w:p w14:paraId="03A4EFC2" w14:textId="77777777" w:rsidR="006D748F" w:rsidRPr="00F4022F" w:rsidRDefault="006D748F" w:rsidP="00F4022F">
            <w:pPr>
              <w:pStyle w:val="ListParagraph"/>
              <w:spacing w:line="240" w:lineRule="auto"/>
              <w:rPr>
                <w:rFonts w:ascii="Arial" w:hAnsi="Arial" w:cs="Arial"/>
                <w:b/>
              </w:rPr>
            </w:pPr>
          </w:p>
          <w:p w14:paraId="698E9847" w14:textId="77777777" w:rsidR="006D748F" w:rsidRPr="00F4022F" w:rsidRDefault="006D748F" w:rsidP="00F4022F">
            <w:pPr>
              <w:ind w:left="360"/>
              <w:rPr>
                <w:rFonts w:cs="Arial"/>
                <w:b/>
                <w:szCs w:val="22"/>
              </w:rPr>
            </w:pPr>
          </w:p>
          <w:p w14:paraId="1E74BB7B" w14:textId="77777777" w:rsidR="006D748F" w:rsidRPr="00F4022F" w:rsidRDefault="006D748F" w:rsidP="00F4022F">
            <w:pPr>
              <w:rPr>
                <w:rFonts w:cs="Arial"/>
                <w:b/>
                <w:szCs w:val="22"/>
              </w:rPr>
            </w:pPr>
          </w:p>
          <w:p w14:paraId="7F490F6F" w14:textId="77777777" w:rsidR="002F5C5E" w:rsidRPr="00F4022F" w:rsidRDefault="00A56681" w:rsidP="00F4022F">
            <w:pPr>
              <w:numPr>
                <w:ilvl w:val="0"/>
                <w:numId w:val="11"/>
              </w:numPr>
              <w:ind w:left="360"/>
              <w:rPr>
                <w:rFonts w:cs="Arial"/>
                <w:b/>
                <w:szCs w:val="22"/>
              </w:rPr>
            </w:pPr>
            <w:r w:rsidRPr="00F4022F">
              <w:rPr>
                <w:rFonts w:cs="Arial"/>
                <w:b/>
                <w:szCs w:val="22"/>
              </w:rPr>
              <w:t xml:space="preserve">Equality &amp; Diversity </w:t>
            </w:r>
          </w:p>
          <w:p w14:paraId="30E2068B" w14:textId="77777777" w:rsidR="00A56681" w:rsidRPr="00F4022F" w:rsidRDefault="00A56681" w:rsidP="00F4022F">
            <w:pPr>
              <w:rPr>
                <w:rFonts w:cs="Arial"/>
                <w:b/>
                <w:szCs w:val="22"/>
              </w:rPr>
            </w:pPr>
          </w:p>
          <w:p w14:paraId="6A21C7A7" w14:textId="77777777" w:rsidR="002F5C5E" w:rsidRPr="00F4022F" w:rsidRDefault="002F5C5E" w:rsidP="00F4022F">
            <w:pPr>
              <w:rPr>
                <w:rFonts w:cs="Arial"/>
                <w:szCs w:val="22"/>
              </w:rPr>
            </w:pPr>
          </w:p>
        </w:tc>
        <w:tc>
          <w:tcPr>
            <w:tcW w:w="6379" w:type="dxa"/>
            <w:shd w:val="clear" w:color="auto" w:fill="auto"/>
          </w:tcPr>
          <w:p w14:paraId="2CF5449C" w14:textId="77777777" w:rsidR="002F5C5E" w:rsidRPr="00F4022F" w:rsidRDefault="002F5C5E" w:rsidP="00F4022F">
            <w:pPr>
              <w:rPr>
                <w:rFonts w:cs="Arial"/>
                <w:szCs w:val="22"/>
              </w:rPr>
            </w:pPr>
          </w:p>
          <w:p w14:paraId="5855E093" w14:textId="77777777" w:rsidR="00F43895" w:rsidRPr="00F4022F" w:rsidRDefault="000C24D0" w:rsidP="00F4022F">
            <w:pPr>
              <w:rPr>
                <w:rFonts w:cs="Arial"/>
                <w:szCs w:val="22"/>
              </w:rPr>
            </w:pPr>
            <w:r w:rsidRPr="00F4022F">
              <w:rPr>
                <w:rFonts w:cs="Arial"/>
                <w:szCs w:val="22"/>
              </w:rPr>
              <w:t>None</w:t>
            </w:r>
          </w:p>
          <w:p w14:paraId="71954150" w14:textId="77777777" w:rsidR="00F43895" w:rsidRPr="00F4022F" w:rsidRDefault="00F43895" w:rsidP="00F4022F">
            <w:pPr>
              <w:rPr>
                <w:rFonts w:cs="Arial"/>
                <w:szCs w:val="22"/>
              </w:rPr>
            </w:pPr>
          </w:p>
          <w:p w14:paraId="05F79912" w14:textId="77777777" w:rsidR="00A56681" w:rsidRPr="00F4022F" w:rsidRDefault="00A56681" w:rsidP="00F4022F">
            <w:pPr>
              <w:rPr>
                <w:rFonts w:cs="Arial"/>
                <w:szCs w:val="22"/>
              </w:rPr>
            </w:pPr>
          </w:p>
          <w:p w14:paraId="06B7F686" w14:textId="77777777" w:rsidR="00F43895" w:rsidRPr="00F4022F" w:rsidRDefault="000C24D0" w:rsidP="00F4022F">
            <w:pPr>
              <w:rPr>
                <w:rFonts w:cs="Arial"/>
                <w:szCs w:val="22"/>
              </w:rPr>
            </w:pPr>
            <w:r w:rsidRPr="00F4022F">
              <w:rPr>
                <w:rFonts w:cs="Arial"/>
                <w:szCs w:val="22"/>
              </w:rPr>
              <w:t>Non</w:t>
            </w:r>
            <w:r w:rsidR="00F43895" w:rsidRPr="00F4022F">
              <w:rPr>
                <w:rFonts w:cs="Arial"/>
                <w:szCs w:val="22"/>
              </w:rPr>
              <w:t>e</w:t>
            </w:r>
          </w:p>
          <w:p w14:paraId="5A7921E2" w14:textId="77777777" w:rsidR="00F43895" w:rsidRPr="00F4022F" w:rsidRDefault="00F43895" w:rsidP="00F4022F">
            <w:pPr>
              <w:rPr>
                <w:rFonts w:cs="Arial"/>
                <w:szCs w:val="22"/>
              </w:rPr>
            </w:pPr>
          </w:p>
          <w:p w14:paraId="7415C592" w14:textId="77777777" w:rsidR="00A56681" w:rsidRPr="00F4022F" w:rsidRDefault="00A56681" w:rsidP="00F4022F">
            <w:pPr>
              <w:rPr>
                <w:rFonts w:cs="Arial"/>
                <w:szCs w:val="22"/>
              </w:rPr>
            </w:pPr>
          </w:p>
          <w:p w14:paraId="02497684" w14:textId="77777777" w:rsidR="00F43895" w:rsidRPr="00F4022F" w:rsidRDefault="000C24D0" w:rsidP="00F4022F">
            <w:pPr>
              <w:rPr>
                <w:rFonts w:cs="Arial"/>
                <w:szCs w:val="22"/>
              </w:rPr>
            </w:pPr>
            <w:r w:rsidRPr="00F4022F">
              <w:rPr>
                <w:rFonts w:cs="Arial"/>
                <w:szCs w:val="22"/>
              </w:rPr>
              <w:t>None</w:t>
            </w:r>
          </w:p>
          <w:p w14:paraId="57545ED3" w14:textId="77777777" w:rsidR="00F43895" w:rsidRPr="00F4022F" w:rsidRDefault="00F43895" w:rsidP="00F4022F">
            <w:pPr>
              <w:rPr>
                <w:rFonts w:cs="Arial"/>
                <w:szCs w:val="22"/>
              </w:rPr>
            </w:pPr>
          </w:p>
          <w:p w14:paraId="5AC69953" w14:textId="77777777" w:rsidR="00A56681" w:rsidRPr="00F4022F" w:rsidRDefault="00A56681" w:rsidP="00F4022F">
            <w:pPr>
              <w:rPr>
                <w:rFonts w:cs="Arial"/>
                <w:szCs w:val="22"/>
              </w:rPr>
            </w:pPr>
          </w:p>
          <w:p w14:paraId="0FF4D960" w14:textId="77777777" w:rsidR="00F43895" w:rsidRDefault="00DE2DDF" w:rsidP="00F4022F">
            <w:pPr>
              <w:rPr>
                <w:rFonts w:cs="Arial"/>
                <w:szCs w:val="22"/>
              </w:rPr>
            </w:pPr>
            <w:r>
              <w:rPr>
                <w:rFonts w:cs="Arial"/>
                <w:szCs w:val="22"/>
              </w:rPr>
              <w:t>It is imperative that we have a new Gambling policy formally adopted by the 31</w:t>
            </w:r>
            <w:r w:rsidRPr="00954570">
              <w:rPr>
                <w:rFonts w:cs="Arial"/>
                <w:szCs w:val="22"/>
                <w:vertAlign w:val="superscript"/>
              </w:rPr>
              <w:t>st</w:t>
            </w:r>
            <w:r>
              <w:rPr>
                <w:rFonts w:cs="Arial"/>
                <w:szCs w:val="22"/>
              </w:rPr>
              <w:t xml:space="preserve"> of January 2019.  A failure to do this would undermine our ability to carry out our functions under the Act </w:t>
            </w:r>
          </w:p>
          <w:p w14:paraId="3F43F1A5" w14:textId="77777777" w:rsidR="00DE2DDF" w:rsidRDefault="00DE2DDF" w:rsidP="00F4022F">
            <w:pPr>
              <w:rPr>
                <w:rFonts w:cs="Arial"/>
                <w:szCs w:val="22"/>
              </w:rPr>
            </w:pPr>
          </w:p>
          <w:p w14:paraId="2C9A2281" w14:textId="77777777" w:rsidR="00DE2DDF" w:rsidRPr="00F4022F" w:rsidRDefault="00DE2DDF" w:rsidP="00F4022F">
            <w:pPr>
              <w:rPr>
                <w:rFonts w:cs="Arial"/>
                <w:i/>
                <w:color w:val="2E74B5" w:themeColor="accent1" w:themeShade="BF"/>
                <w:szCs w:val="22"/>
              </w:rPr>
            </w:pPr>
            <w:r>
              <w:rPr>
                <w:rFonts w:cs="Arial"/>
                <w:szCs w:val="22"/>
              </w:rPr>
              <w:t>None</w:t>
            </w:r>
          </w:p>
        </w:tc>
      </w:tr>
    </w:tbl>
    <w:p w14:paraId="6A977563" w14:textId="77777777" w:rsidR="000C24D0" w:rsidRDefault="000C24D0" w:rsidP="002F5C5E">
      <w:pPr>
        <w:rPr>
          <w:b/>
          <w:szCs w:val="22"/>
        </w:rPr>
      </w:pPr>
    </w:p>
    <w:p w14:paraId="4F7F542B" w14:textId="77777777" w:rsidR="000C24D0" w:rsidRDefault="000C24D0" w:rsidP="002F5C5E">
      <w:pPr>
        <w:rPr>
          <w:b/>
          <w:szCs w:val="22"/>
        </w:rPr>
      </w:pPr>
    </w:p>
    <w:p w14:paraId="62CCE377" w14:textId="77777777" w:rsidR="002F5C5E" w:rsidRDefault="000B5251" w:rsidP="002F5C5E">
      <w:pPr>
        <w:rPr>
          <w:b/>
          <w:szCs w:val="22"/>
        </w:rPr>
      </w:pPr>
      <w:r>
        <w:rPr>
          <w:b/>
          <w:szCs w:val="22"/>
        </w:rPr>
        <w:t>1</w:t>
      </w:r>
      <w:r w:rsidR="00DE2DDF">
        <w:rPr>
          <w:b/>
          <w:szCs w:val="22"/>
        </w:rPr>
        <w:t>1</w:t>
      </w:r>
      <w:r>
        <w:rPr>
          <w:b/>
          <w:szCs w:val="22"/>
        </w:rPr>
        <w:t xml:space="preserve">. BACKGROUND DOCUMENTS </w:t>
      </w:r>
    </w:p>
    <w:p w14:paraId="693F3102" w14:textId="77777777" w:rsidR="000B5251" w:rsidRPr="009C1143" w:rsidRDefault="000B5251" w:rsidP="002F5C5E">
      <w:pPr>
        <w:rPr>
          <w:szCs w:val="22"/>
        </w:rPr>
      </w:pPr>
    </w:p>
    <w:p w14:paraId="3847FF55" w14:textId="77777777" w:rsidR="002F5C5E" w:rsidRPr="000C24D0" w:rsidRDefault="000C24D0" w:rsidP="000B5251">
      <w:pPr>
        <w:rPr>
          <w:szCs w:val="22"/>
        </w:rPr>
      </w:pPr>
      <w:r w:rsidRPr="000C24D0">
        <w:rPr>
          <w:szCs w:val="22"/>
        </w:rPr>
        <w:t>None</w:t>
      </w:r>
    </w:p>
    <w:p w14:paraId="3D1B1F0B" w14:textId="77777777" w:rsidR="000B5251" w:rsidRDefault="000B5251" w:rsidP="000B5251">
      <w:pPr>
        <w:rPr>
          <w:i/>
          <w:color w:val="0070C0"/>
          <w:szCs w:val="22"/>
        </w:rPr>
      </w:pPr>
    </w:p>
    <w:p w14:paraId="5482C78E" w14:textId="77777777" w:rsidR="000C24D0" w:rsidRDefault="000C24D0" w:rsidP="000B5251">
      <w:pPr>
        <w:rPr>
          <w:i/>
          <w:color w:val="0070C0"/>
          <w:szCs w:val="22"/>
        </w:rPr>
      </w:pPr>
    </w:p>
    <w:p w14:paraId="382E7544" w14:textId="77777777" w:rsidR="000B5251" w:rsidRDefault="000B5251" w:rsidP="000B5251">
      <w:pPr>
        <w:rPr>
          <w:b/>
        </w:rPr>
      </w:pPr>
      <w:r w:rsidRPr="00792A2B">
        <w:rPr>
          <w:b/>
        </w:rPr>
        <w:t>1</w:t>
      </w:r>
      <w:r w:rsidR="00DE2DDF">
        <w:rPr>
          <w:b/>
        </w:rPr>
        <w:t>2</w:t>
      </w:r>
      <w:r w:rsidRPr="00792A2B">
        <w:rPr>
          <w:b/>
        </w:rPr>
        <w:t xml:space="preserve">. APPENDICES </w:t>
      </w:r>
    </w:p>
    <w:p w14:paraId="69559402" w14:textId="77777777" w:rsidR="000B5251" w:rsidRDefault="000B5251" w:rsidP="000B5251">
      <w:pPr>
        <w:rPr>
          <w:b/>
        </w:rPr>
      </w:pPr>
    </w:p>
    <w:p w14:paraId="131BF68F" w14:textId="77777777" w:rsidR="001C5E49" w:rsidRDefault="009674A1" w:rsidP="001C5E49">
      <w:pPr>
        <w:tabs>
          <w:tab w:val="left" w:pos="2839"/>
        </w:tabs>
        <w:ind w:left="426" w:hanging="426"/>
        <w:rPr>
          <w:b/>
        </w:rPr>
      </w:pPr>
      <w:r>
        <w:rPr>
          <w:b/>
        </w:rPr>
        <w:t>N/A</w:t>
      </w:r>
    </w:p>
    <w:p w14:paraId="32CE79A8" w14:textId="77777777" w:rsidR="006D748F" w:rsidRPr="007F1945" w:rsidRDefault="006D748F" w:rsidP="001C5E49">
      <w:pPr>
        <w:tabs>
          <w:tab w:val="left" w:pos="2839"/>
        </w:tabs>
        <w:ind w:left="426" w:hanging="426"/>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4"/>
        <w:gridCol w:w="1555"/>
        <w:gridCol w:w="2351"/>
      </w:tblGrid>
      <w:tr w:rsidR="001C5E49" w14:paraId="0DEE6A47" w14:textId="77777777" w:rsidTr="001D28E4">
        <w:tc>
          <w:tcPr>
            <w:tcW w:w="5614" w:type="dxa"/>
            <w:shd w:val="clear" w:color="auto" w:fill="auto"/>
          </w:tcPr>
          <w:p w14:paraId="361DF43B" w14:textId="77777777" w:rsidR="001C5E49" w:rsidRPr="0031059E" w:rsidRDefault="001C5E49" w:rsidP="00E2196F">
            <w:pPr>
              <w:rPr>
                <w:rFonts w:cs="Arial"/>
              </w:rPr>
            </w:pPr>
            <w:r w:rsidRPr="0031059E">
              <w:rPr>
                <w:rFonts w:cs="Arial"/>
              </w:rPr>
              <w:t>Report Author:</w:t>
            </w:r>
          </w:p>
        </w:tc>
        <w:tc>
          <w:tcPr>
            <w:tcW w:w="1555" w:type="dxa"/>
            <w:shd w:val="clear" w:color="auto" w:fill="auto"/>
          </w:tcPr>
          <w:p w14:paraId="362F38E0" w14:textId="77777777" w:rsidR="001C5E49" w:rsidRPr="0031059E" w:rsidRDefault="001C5E49" w:rsidP="00E2196F">
            <w:pPr>
              <w:rPr>
                <w:rFonts w:cs="Arial"/>
              </w:rPr>
            </w:pPr>
            <w:r w:rsidRPr="0031059E">
              <w:rPr>
                <w:rFonts w:cs="Arial"/>
              </w:rPr>
              <w:t>Telephone:</w:t>
            </w:r>
          </w:p>
        </w:tc>
        <w:tc>
          <w:tcPr>
            <w:tcW w:w="2351" w:type="dxa"/>
            <w:shd w:val="clear" w:color="auto" w:fill="auto"/>
          </w:tcPr>
          <w:p w14:paraId="4CA5C11E" w14:textId="77777777" w:rsidR="001C5E49" w:rsidRPr="0031059E" w:rsidRDefault="001C5E49" w:rsidP="00E2196F">
            <w:pPr>
              <w:rPr>
                <w:rFonts w:cs="Arial"/>
              </w:rPr>
            </w:pPr>
            <w:r w:rsidRPr="0031059E">
              <w:rPr>
                <w:rFonts w:cs="Arial"/>
              </w:rPr>
              <w:t>Date:</w:t>
            </w:r>
          </w:p>
        </w:tc>
      </w:tr>
      <w:tr w:rsidR="00C903AC" w14:paraId="5D5E1821" w14:textId="77777777" w:rsidTr="001D28E4">
        <w:tc>
          <w:tcPr>
            <w:tcW w:w="5614" w:type="dxa"/>
            <w:shd w:val="clear" w:color="auto" w:fill="auto"/>
          </w:tcPr>
          <w:p w14:paraId="0E6FD91F" w14:textId="77777777" w:rsidR="00C903AC" w:rsidRDefault="00C903AC" w:rsidP="00C903AC">
            <w:pPr>
              <w:rPr>
                <w:rFonts w:cs="Arial"/>
                <w:i/>
                <w:color w:val="2E74B5" w:themeColor="accent1" w:themeShade="BF"/>
              </w:rPr>
            </w:pPr>
          </w:p>
          <w:p w14:paraId="73E93DFE" w14:textId="77777777" w:rsidR="00DD2D13" w:rsidRPr="00DD2D13" w:rsidRDefault="009674A1" w:rsidP="00C903AC">
            <w:pPr>
              <w:rPr>
                <w:rFonts w:cs="Arial"/>
              </w:rPr>
            </w:pPr>
            <w:r>
              <w:rPr>
                <w:rFonts w:cs="Arial"/>
              </w:rPr>
              <w:t>Mark Marshall</w:t>
            </w:r>
          </w:p>
          <w:p w14:paraId="55FC4144" w14:textId="77777777" w:rsidR="00C903AC" w:rsidRPr="0031059E" w:rsidRDefault="00C903AC" w:rsidP="00C903AC">
            <w:pPr>
              <w:ind w:left="-539" w:firstLine="539"/>
              <w:rPr>
                <w:rFonts w:cs="Arial"/>
              </w:rPr>
            </w:pPr>
          </w:p>
        </w:tc>
        <w:tc>
          <w:tcPr>
            <w:tcW w:w="1555" w:type="dxa"/>
            <w:shd w:val="clear" w:color="auto" w:fill="auto"/>
          </w:tcPr>
          <w:p w14:paraId="4960C19E" w14:textId="77777777" w:rsidR="00745026" w:rsidRDefault="00745026" w:rsidP="00C903AC">
            <w:pPr>
              <w:rPr>
                <w:rFonts w:cs="Arial"/>
              </w:rPr>
            </w:pPr>
          </w:p>
          <w:p w14:paraId="1FF0A42A" w14:textId="77777777" w:rsidR="00C903AC" w:rsidRDefault="00DD2D13" w:rsidP="00C903AC">
            <w:pPr>
              <w:rPr>
                <w:rFonts w:cs="Arial"/>
              </w:rPr>
            </w:pPr>
            <w:r>
              <w:rPr>
                <w:rFonts w:cs="Arial"/>
              </w:rPr>
              <w:t>01772 625401</w:t>
            </w:r>
          </w:p>
          <w:p w14:paraId="6DD6A9F5" w14:textId="77777777" w:rsidR="00745026" w:rsidRPr="0031059E" w:rsidRDefault="00745026" w:rsidP="00C903AC">
            <w:pPr>
              <w:rPr>
                <w:rFonts w:cs="Arial"/>
              </w:rPr>
            </w:pPr>
          </w:p>
        </w:tc>
        <w:tc>
          <w:tcPr>
            <w:tcW w:w="2351" w:type="dxa"/>
            <w:shd w:val="clear" w:color="auto" w:fill="auto"/>
          </w:tcPr>
          <w:p w14:paraId="5F431FE0" w14:textId="77777777" w:rsidR="00C903AC" w:rsidRDefault="00C903AC" w:rsidP="00BC63A8">
            <w:pPr>
              <w:rPr>
                <w:rFonts w:cs="Arial"/>
              </w:rPr>
            </w:pPr>
          </w:p>
          <w:p w14:paraId="2D2AC897" w14:textId="462B2D33" w:rsidR="005F057E" w:rsidRPr="0031059E" w:rsidRDefault="005F057E" w:rsidP="00A77703">
            <w:pPr>
              <w:rPr>
                <w:rFonts w:cs="Arial"/>
              </w:rPr>
            </w:pPr>
            <w:r>
              <w:rPr>
                <w:rFonts w:cs="Arial"/>
              </w:rPr>
              <w:t>17</w:t>
            </w:r>
            <w:bookmarkStart w:id="0" w:name="_GoBack"/>
            <w:bookmarkEnd w:id="0"/>
            <w:r>
              <w:rPr>
                <w:rFonts w:cs="Arial"/>
              </w:rPr>
              <w:t xml:space="preserve"> August 2018</w:t>
            </w:r>
          </w:p>
        </w:tc>
      </w:tr>
    </w:tbl>
    <w:p w14:paraId="7DD08A91" w14:textId="77777777" w:rsidR="001C5E49" w:rsidRPr="009725FB" w:rsidRDefault="001C5E49" w:rsidP="00DD2D13">
      <w:pPr>
        <w:tabs>
          <w:tab w:val="left" w:pos="2839"/>
        </w:tabs>
        <w:rPr>
          <w:rFonts w:cs="Arial"/>
        </w:rPr>
      </w:pPr>
    </w:p>
    <w:sectPr w:rsidR="001C5E49" w:rsidRPr="009725FB" w:rsidSect="00E971A2">
      <w:footerReference w:type="default" r:id="rId9"/>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DC8D56" w14:textId="77777777" w:rsidR="00F76329" w:rsidRDefault="00F76329">
      <w:r>
        <w:separator/>
      </w:r>
    </w:p>
  </w:endnote>
  <w:endnote w:type="continuationSeparator" w:id="0">
    <w:p w14:paraId="6FAAEFA0" w14:textId="77777777" w:rsidR="00F76329" w:rsidRDefault="00F76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E26B7" w14:textId="77777777" w:rsidR="0065755A" w:rsidRPr="00FD7B65" w:rsidRDefault="0065755A">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sidR="00A77703">
      <w:rPr>
        <w:noProof/>
        <w:sz w:val="24"/>
      </w:rPr>
      <w:t>1</w:t>
    </w:r>
    <w:r w:rsidRPr="00FD7B65">
      <w:rPr>
        <w:noProof/>
        <w:sz w:val="24"/>
      </w:rPr>
      <w:fldChar w:fldCharType="end"/>
    </w:r>
  </w:p>
  <w:p w14:paraId="13EFFD2B" w14:textId="77777777" w:rsidR="0065755A" w:rsidRDefault="006575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47D704" w14:textId="77777777" w:rsidR="00F76329" w:rsidRDefault="00F76329">
      <w:r>
        <w:separator/>
      </w:r>
    </w:p>
  </w:footnote>
  <w:footnote w:type="continuationSeparator" w:id="0">
    <w:p w14:paraId="55156F10" w14:textId="77777777" w:rsidR="00F76329" w:rsidRDefault="00F763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2BEE"/>
    <w:multiLevelType w:val="multilevel"/>
    <w:tmpl w:val="0C6E435E"/>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53B4BDB"/>
    <w:multiLevelType w:val="multilevel"/>
    <w:tmpl w:val="A5A89A5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6C14DF9"/>
    <w:multiLevelType w:val="hybridMultilevel"/>
    <w:tmpl w:val="425883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8B9450D"/>
    <w:multiLevelType w:val="hybridMultilevel"/>
    <w:tmpl w:val="A0882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C647D2"/>
    <w:multiLevelType w:val="hybridMultilevel"/>
    <w:tmpl w:val="14BA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202C1C"/>
    <w:multiLevelType w:val="hybridMultilevel"/>
    <w:tmpl w:val="EF64909A"/>
    <w:lvl w:ilvl="0" w:tplc="71CE796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0CF37D02"/>
    <w:multiLevelType w:val="multilevel"/>
    <w:tmpl w:val="2562A2FE"/>
    <w:lvl w:ilvl="0">
      <w:start w:val="5"/>
      <w:numFmt w:val="decimal"/>
      <w:lvlText w:val="%1"/>
      <w:lvlJc w:val="left"/>
      <w:pPr>
        <w:ind w:left="360" w:hanging="360"/>
      </w:pPr>
      <w:rPr>
        <w:rFonts w:ascii="Arial" w:hAnsi="Arial" w:hint="default"/>
        <w:color w:val="auto"/>
      </w:rPr>
    </w:lvl>
    <w:lvl w:ilvl="1">
      <w:start w:val="1"/>
      <w:numFmt w:val="decimal"/>
      <w:lvlText w:val="%1.%2"/>
      <w:lvlJc w:val="left"/>
      <w:pPr>
        <w:ind w:left="720" w:hanging="360"/>
      </w:pPr>
      <w:rPr>
        <w:rFonts w:ascii="Arial" w:hAnsi="Arial" w:hint="default"/>
        <w:color w:val="auto"/>
      </w:rPr>
    </w:lvl>
    <w:lvl w:ilvl="2">
      <w:start w:val="1"/>
      <w:numFmt w:val="decimal"/>
      <w:lvlText w:val="%1.%2.%3"/>
      <w:lvlJc w:val="left"/>
      <w:pPr>
        <w:ind w:left="1440" w:hanging="720"/>
      </w:pPr>
      <w:rPr>
        <w:rFonts w:ascii="Arial" w:hAnsi="Arial" w:hint="default"/>
        <w:color w:val="auto"/>
      </w:rPr>
    </w:lvl>
    <w:lvl w:ilvl="3">
      <w:start w:val="1"/>
      <w:numFmt w:val="decimal"/>
      <w:lvlText w:val="%1.%2.%3.%4"/>
      <w:lvlJc w:val="left"/>
      <w:pPr>
        <w:ind w:left="1800" w:hanging="720"/>
      </w:pPr>
      <w:rPr>
        <w:rFonts w:ascii="Arial" w:hAnsi="Arial" w:hint="default"/>
        <w:color w:val="auto"/>
      </w:rPr>
    </w:lvl>
    <w:lvl w:ilvl="4">
      <w:start w:val="1"/>
      <w:numFmt w:val="decimal"/>
      <w:lvlText w:val="%1.%2.%3.%4.%5"/>
      <w:lvlJc w:val="left"/>
      <w:pPr>
        <w:ind w:left="2520" w:hanging="1080"/>
      </w:pPr>
      <w:rPr>
        <w:rFonts w:ascii="Arial" w:hAnsi="Arial" w:hint="default"/>
        <w:color w:val="auto"/>
      </w:rPr>
    </w:lvl>
    <w:lvl w:ilvl="5">
      <w:start w:val="1"/>
      <w:numFmt w:val="decimal"/>
      <w:lvlText w:val="%1.%2.%3.%4.%5.%6"/>
      <w:lvlJc w:val="left"/>
      <w:pPr>
        <w:ind w:left="2880" w:hanging="1080"/>
      </w:pPr>
      <w:rPr>
        <w:rFonts w:ascii="Arial" w:hAnsi="Arial" w:hint="default"/>
        <w:color w:val="auto"/>
      </w:rPr>
    </w:lvl>
    <w:lvl w:ilvl="6">
      <w:start w:val="1"/>
      <w:numFmt w:val="decimal"/>
      <w:lvlText w:val="%1.%2.%3.%4.%5.%6.%7"/>
      <w:lvlJc w:val="left"/>
      <w:pPr>
        <w:ind w:left="3600" w:hanging="1440"/>
      </w:pPr>
      <w:rPr>
        <w:rFonts w:ascii="Arial" w:hAnsi="Arial" w:hint="default"/>
        <w:color w:val="auto"/>
      </w:rPr>
    </w:lvl>
    <w:lvl w:ilvl="7">
      <w:start w:val="1"/>
      <w:numFmt w:val="decimal"/>
      <w:lvlText w:val="%1.%2.%3.%4.%5.%6.%7.%8"/>
      <w:lvlJc w:val="left"/>
      <w:pPr>
        <w:ind w:left="3960" w:hanging="1440"/>
      </w:pPr>
      <w:rPr>
        <w:rFonts w:ascii="Arial" w:hAnsi="Arial" w:hint="default"/>
        <w:color w:val="auto"/>
      </w:rPr>
    </w:lvl>
    <w:lvl w:ilvl="8">
      <w:start w:val="1"/>
      <w:numFmt w:val="decimal"/>
      <w:lvlText w:val="%1.%2.%3.%4.%5.%6.%7.%8.%9"/>
      <w:lvlJc w:val="left"/>
      <w:pPr>
        <w:ind w:left="4320" w:hanging="1440"/>
      </w:pPr>
      <w:rPr>
        <w:rFonts w:ascii="Arial" w:hAnsi="Arial" w:hint="default"/>
        <w:color w:val="auto"/>
      </w:rPr>
    </w:lvl>
  </w:abstractNum>
  <w:abstractNum w:abstractNumId="7" w15:restartNumberingAfterBreak="0">
    <w:nsid w:val="10611A26"/>
    <w:multiLevelType w:val="hybridMultilevel"/>
    <w:tmpl w:val="A9B88F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119C3F16"/>
    <w:multiLevelType w:val="hybridMultilevel"/>
    <w:tmpl w:val="61CADE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AC271A"/>
    <w:multiLevelType w:val="hybridMultilevel"/>
    <w:tmpl w:val="B76AF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5D396D"/>
    <w:multiLevelType w:val="hybridMultilevel"/>
    <w:tmpl w:val="7D20BE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2A6231B"/>
    <w:multiLevelType w:val="hybridMultilevel"/>
    <w:tmpl w:val="0010B0A0"/>
    <w:lvl w:ilvl="0" w:tplc="E33E5CF6">
      <w:start w:val="1"/>
      <w:numFmt w:val="bullet"/>
      <w:lvlText w:val="u"/>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F85F9F"/>
    <w:multiLevelType w:val="hybridMultilevel"/>
    <w:tmpl w:val="0F268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31453A"/>
    <w:multiLevelType w:val="multilevel"/>
    <w:tmpl w:val="4D4A7AA0"/>
    <w:lvl w:ilvl="0">
      <w:start w:val="1"/>
      <w:numFmt w:val="decimal"/>
      <w:lvlText w:val="%1."/>
      <w:lvlJc w:val="left"/>
      <w:pPr>
        <w:ind w:left="502"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4" w15:restartNumberingAfterBreak="0">
    <w:nsid w:val="15B325EC"/>
    <w:multiLevelType w:val="multilevel"/>
    <w:tmpl w:val="240091AA"/>
    <w:lvl w:ilvl="0">
      <w:start w:val="8"/>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5" w15:restartNumberingAfterBreak="0">
    <w:nsid w:val="16B67A8A"/>
    <w:multiLevelType w:val="hybridMultilevel"/>
    <w:tmpl w:val="C1FEE3B0"/>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78E4CA2"/>
    <w:multiLevelType w:val="multilevel"/>
    <w:tmpl w:val="32E86002"/>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179979B7"/>
    <w:multiLevelType w:val="multilevel"/>
    <w:tmpl w:val="1D64DC22"/>
    <w:lvl w:ilvl="0">
      <w:start w:val="11"/>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18" w15:restartNumberingAfterBreak="0">
    <w:nsid w:val="1AD478C1"/>
    <w:multiLevelType w:val="hybridMultilevel"/>
    <w:tmpl w:val="BB10E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8963248"/>
    <w:multiLevelType w:val="hybridMultilevel"/>
    <w:tmpl w:val="E04C41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4A7094"/>
    <w:multiLevelType w:val="hybridMultilevel"/>
    <w:tmpl w:val="7F2892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1CA435F"/>
    <w:multiLevelType w:val="multilevel"/>
    <w:tmpl w:val="AEEE69A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2B21C61"/>
    <w:multiLevelType w:val="multilevel"/>
    <w:tmpl w:val="D89A097E"/>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color w:val="000000" w:themeColor="text1"/>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4" w15:restartNumberingAfterBreak="0">
    <w:nsid w:val="32EA7385"/>
    <w:multiLevelType w:val="hybridMultilevel"/>
    <w:tmpl w:val="26F4CAD4"/>
    <w:lvl w:ilvl="0" w:tplc="E4B6C3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6A34BD0"/>
    <w:multiLevelType w:val="hybridMultilevel"/>
    <w:tmpl w:val="3BDE3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6C60002"/>
    <w:multiLevelType w:val="hybridMultilevel"/>
    <w:tmpl w:val="E85A8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8350DA8"/>
    <w:multiLevelType w:val="multilevel"/>
    <w:tmpl w:val="C75CB29C"/>
    <w:lvl w:ilvl="0">
      <w:start w:val="4"/>
      <w:numFmt w:val="decimal"/>
      <w:lvlText w:val="%1"/>
      <w:lvlJc w:val="left"/>
      <w:pPr>
        <w:ind w:left="360" w:hanging="360"/>
      </w:pPr>
      <w:rPr>
        <w:rFonts w:hint="default"/>
      </w:rPr>
    </w:lvl>
    <w:lvl w:ilvl="1">
      <w:start w:val="1"/>
      <w:numFmt w:val="decimal"/>
      <w:lvlText w:val="%1.%2"/>
      <w:lvlJc w:val="left"/>
      <w:pPr>
        <w:ind w:left="501" w:hanging="360"/>
      </w:pPr>
      <w:rPr>
        <w:rFonts w:ascii="Arial" w:hAnsi="Arial" w:cs="Arial"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8" w15:restartNumberingAfterBreak="0">
    <w:nsid w:val="384C6DE7"/>
    <w:multiLevelType w:val="hybridMultilevel"/>
    <w:tmpl w:val="3CC27072"/>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A4A5D20"/>
    <w:multiLevelType w:val="hybridMultilevel"/>
    <w:tmpl w:val="B90E02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3DA94329"/>
    <w:multiLevelType w:val="hybridMultilevel"/>
    <w:tmpl w:val="4D86A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E712AAF"/>
    <w:multiLevelType w:val="hybridMultilevel"/>
    <w:tmpl w:val="49A6CFAA"/>
    <w:lvl w:ilvl="0" w:tplc="8B50E3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EAD3D6B"/>
    <w:multiLevelType w:val="hybridMultilevel"/>
    <w:tmpl w:val="F6081804"/>
    <w:lvl w:ilvl="0" w:tplc="8EF4B89A">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91843F1"/>
    <w:multiLevelType w:val="hybridMultilevel"/>
    <w:tmpl w:val="55540E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B47085A"/>
    <w:multiLevelType w:val="hybridMultilevel"/>
    <w:tmpl w:val="3DD2079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5" w15:restartNumberingAfterBreak="0">
    <w:nsid w:val="5DE5625E"/>
    <w:multiLevelType w:val="hybridMultilevel"/>
    <w:tmpl w:val="06766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25E7F11"/>
    <w:multiLevelType w:val="multilevel"/>
    <w:tmpl w:val="0E54111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64AB4727"/>
    <w:multiLevelType w:val="hybridMultilevel"/>
    <w:tmpl w:val="D5128D2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8" w15:restartNumberingAfterBreak="0">
    <w:nsid w:val="657344BB"/>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65E30E0F"/>
    <w:multiLevelType w:val="multilevel"/>
    <w:tmpl w:val="F3E684FE"/>
    <w:lvl w:ilvl="0">
      <w:start w:val="7"/>
      <w:numFmt w:val="decimal"/>
      <w:lvlText w:val="%1"/>
      <w:lvlJc w:val="left"/>
      <w:pPr>
        <w:ind w:left="360" w:hanging="360"/>
      </w:pPr>
      <w:rPr>
        <w:rFonts w:hint="default"/>
        <w:i/>
      </w:rPr>
    </w:lvl>
    <w:lvl w:ilvl="1">
      <w:start w:val="1"/>
      <w:numFmt w:val="decimal"/>
      <w:lvlText w:val="%1.%2"/>
      <w:lvlJc w:val="left"/>
      <w:pPr>
        <w:ind w:left="720" w:hanging="36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40" w15:restartNumberingAfterBreak="0">
    <w:nsid w:val="65FF3D60"/>
    <w:multiLevelType w:val="hybridMultilevel"/>
    <w:tmpl w:val="9BE2B0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AD95319"/>
    <w:multiLevelType w:val="multilevel"/>
    <w:tmpl w:val="65A045F4"/>
    <w:lvl w:ilvl="0">
      <w:start w:val="10"/>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42" w15:restartNumberingAfterBreak="0">
    <w:nsid w:val="6CC17047"/>
    <w:multiLevelType w:val="multilevel"/>
    <w:tmpl w:val="0540B0CC"/>
    <w:lvl w:ilvl="0">
      <w:start w:val="10"/>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43" w15:restartNumberingAfterBreak="0">
    <w:nsid w:val="6D1876AA"/>
    <w:multiLevelType w:val="hybridMultilevel"/>
    <w:tmpl w:val="652A7A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31F3A66"/>
    <w:multiLevelType w:val="multilevel"/>
    <w:tmpl w:val="1A9C38F2"/>
    <w:lvl w:ilvl="0">
      <w:start w:val="10"/>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5" w15:restartNumberingAfterBreak="0">
    <w:nsid w:val="74DA2822"/>
    <w:multiLevelType w:val="hybridMultilevel"/>
    <w:tmpl w:val="AEAEB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32"/>
  </w:num>
  <w:num w:numId="3">
    <w:abstractNumId w:val="35"/>
  </w:num>
  <w:num w:numId="4">
    <w:abstractNumId w:val="19"/>
  </w:num>
  <w:num w:numId="5">
    <w:abstractNumId w:val="28"/>
  </w:num>
  <w:num w:numId="6">
    <w:abstractNumId w:val="15"/>
  </w:num>
  <w:num w:numId="7">
    <w:abstractNumId w:val="12"/>
  </w:num>
  <w:num w:numId="8">
    <w:abstractNumId w:val="13"/>
  </w:num>
  <w:num w:numId="9">
    <w:abstractNumId w:val="4"/>
  </w:num>
  <w:num w:numId="10">
    <w:abstractNumId w:val="7"/>
  </w:num>
  <w:num w:numId="11">
    <w:abstractNumId w:val="11"/>
  </w:num>
  <w:num w:numId="12">
    <w:abstractNumId w:val="23"/>
  </w:num>
  <w:num w:numId="13">
    <w:abstractNumId w:val="0"/>
  </w:num>
  <w:num w:numId="14">
    <w:abstractNumId w:val="42"/>
  </w:num>
  <w:num w:numId="15">
    <w:abstractNumId w:val="17"/>
  </w:num>
  <w:num w:numId="16">
    <w:abstractNumId w:val="16"/>
  </w:num>
  <w:num w:numId="17">
    <w:abstractNumId w:val="5"/>
  </w:num>
  <w:num w:numId="18">
    <w:abstractNumId w:val="25"/>
  </w:num>
  <w:num w:numId="19">
    <w:abstractNumId w:val="20"/>
  </w:num>
  <w:num w:numId="20">
    <w:abstractNumId w:val="18"/>
  </w:num>
  <w:num w:numId="21">
    <w:abstractNumId w:val="21"/>
  </w:num>
  <w:num w:numId="22">
    <w:abstractNumId w:val="3"/>
  </w:num>
  <w:num w:numId="23">
    <w:abstractNumId w:val="9"/>
  </w:num>
  <w:num w:numId="24">
    <w:abstractNumId w:val="34"/>
  </w:num>
  <w:num w:numId="25">
    <w:abstractNumId w:val="39"/>
  </w:num>
  <w:num w:numId="26">
    <w:abstractNumId w:val="14"/>
  </w:num>
  <w:num w:numId="27">
    <w:abstractNumId w:val="22"/>
  </w:num>
  <w:num w:numId="28">
    <w:abstractNumId w:val="36"/>
  </w:num>
  <w:num w:numId="29">
    <w:abstractNumId w:val="41"/>
  </w:num>
  <w:num w:numId="30">
    <w:abstractNumId w:val="44"/>
  </w:num>
  <w:num w:numId="31">
    <w:abstractNumId w:val="8"/>
  </w:num>
  <w:num w:numId="32">
    <w:abstractNumId w:val="33"/>
  </w:num>
  <w:num w:numId="33">
    <w:abstractNumId w:val="10"/>
  </w:num>
  <w:num w:numId="34">
    <w:abstractNumId w:val="40"/>
  </w:num>
  <w:num w:numId="35">
    <w:abstractNumId w:val="37"/>
  </w:num>
  <w:num w:numId="36">
    <w:abstractNumId w:val="43"/>
  </w:num>
  <w:num w:numId="37">
    <w:abstractNumId w:val="2"/>
  </w:num>
  <w:num w:numId="38">
    <w:abstractNumId w:val="29"/>
  </w:num>
  <w:num w:numId="39">
    <w:abstractNumId w:val="26"/>
  </w:num>
  <w:num w:numId="40">
    <w:abstractNumId w:val="45"/>
  </w:num>
  <w:num w:numId="41">
    <w:abstractNumId w:val="31"/>
  </w:num>
  <w:num w:numId="42">
    <w:abstractNumId w:val="30"/>
  </w:num>
  <w:num w:numId="43">
    <w:abstractNumId w:val="1"/>
  </w:num>
  <w:num w:numId="44">
    <w:abstractNumId w:val="27"/>
  </w:num>
  <w:num w:numId="45">
    <w:abstractNumId w:val="38"/>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0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BB"/>
    <w:rsid w:val="00002742"/>
    <w:rsid w:val="000148AE"/>
    <w:rsid w:val="00016DD3"/>
    <w:rsid w:val="00025DED"/>
    <w:rsid w:val="000301CE"/>
    <w:rsid w:val="00067B79"/>
    <w:rsid w:val="000B5251"/>
    <w:rsid w:val="000B621E"/>
    <w:rsid w:val="000C24D0"/>
    <w:rsid w:val="000E10FE"/>
    <w:rsid w:val="000F2C8A"/>
    <w:rsid w:val="00117F3E"/>
    <w:rsid w:val="00153993"/>
    <w:rsid w:val="001544DD"/>
    <w:rsid w:val="0016571F"/>
    <w:rsid w:val="00184E1D"/>
    <w:rsid w:val="001938D6"/>
    <w:rsid w:val="001B1D4F"/>
    <w:rsid w:val="001C5E49"/>
    <w:rsid w:val="001C796D"/>
    <w:rsid w:val="001D28E4"/>
    <w:rsid w:val="002144D0"/>
    <w:rsid w:val="002221BD"/>
    <w:rsid w:val="00237E9D"/>
    <w:rsid w:val="0025591B"/>
    <w:rsid w:val="00262CC8"/>
    <w:rsid w:val="00265FDB"/>
    <w:rsid w:val="00274776"/>
    <w:rsid w:val="002820A5"/>
    <w:rsid w:val="002858F4"/>
    <w:rsid w:val="002A2F7A"/>
    <w:rsid w:val="002A4F7E"/>
    <w:rsid w:val="002D26A2"/>
    <w:rsid w:val="002D62DF"/>
    <w:rsid w:val="002E4FF4"/>
    <w:rsid w:val="002F5C5E"/>
    <w:rsid w:val="0031255C"/>
    <w:rsid w:val="003254B6"/>
    <w:rsid w:val="003400B6"/>
    <w:rsid w:val="00342AB1"/>
    <w:rsid w:val="00345C71"/>
    <w:rsid w:val="00345D48"/>
    <w:rsid w:val="00386AAD"/>
    <w:rsid w:val="00387302"/>
    <w:rsid w:val="003902A2"/>
    <w:rsid w:val="003A1B3F"/>
    <w:rsid w:val="003A23D3"/>
    <w:rsid w:val="003A2919"/>
    <w:rsid w:val="003B1E6D"/>
    <w:rsid w:val="003C36EB"/>
    <w:rsid w:val="003E33E6"/>
    <w:rsid w:val="003E60AE"/>
    <w:rsid w:val="003F0035"/>
    <w:rsid w:val="003F5603"/>
    <w:rsid w:val="00405D4A"/>
    <w:rsid w:val="004218EA"/>
    <w:rsid w:val="0042456A"/>
    <w:rsid w:val="00442C46"/>
    <w:rsid w:val="00455C9E"/>
    <w:rsid w:val="00474DA8"/>
    <w:rsid w:val="0047741D"/>
    <w:rsid w:val="0048503A"/>
    <w:rsid w:val="004A45D4"/>
    <w:rsid w:val="004D59F2"/>
    <w:rsid w:val="004D7260"/>
    <w:rsid w:val="004F05F3"/>
    <w:rsid w:val="004F23B3"/>
    <w:rsid w:val="005041BB"/>
    <w:rsid w:val="00525728"/>
    <w:rsid w:val="0052590D"/>
    <w:rsid w:val="00533525"/>
    <w:rsid w:val="00533667"/>
    <w:rsid w:val="005368C1"/>
    <w:rsid w:val="00547120"/>
    <w:rsid w:val="00547481"/>
    <w:rsid w:val="005515D9"/>
    <w:rsid w:val="0057197B"/>
    <w:rsid w:val="00576A82"/>
    <w:rsid w:val="005A1D29"/>
    <w:rsid w:val="005A26AD"/>
    <w:rsid w:val="005B0C36"/>
    <w:rsid w:val="005C12B9"/>
    <w:rsid w:val="005C1F1E"/>
    <w:rsid w:val="005D4F59"/>
    <w:rsid w:val="005F057E"/>
    <w:rsid w:val="0060374B"/>
    <w:rsid w:val="006103EA"/>
    <w:rsid w:val="00630F86"/>
    <w:rsid w:val="00633396"/>
    <w:rsid w:val="00645A0B"/>
    <w:rsid w:val="006555E6"/>
    <w:rsid w:val="0065755A"/>
    <w:rsid w:val="00672CFD"/>
    <w:rsid w:val="006879CA"/>
    <w:rsid w:val="006B645E"/>
    <w:rsid w:val="006B7116"/>
    <w:rsid w:val="006C04C1"/>
    <w:rsid w:val="006C209A"/>
    <w:rsid w:val="006D748F"/>
    <w:rsid w:val="006E09FB"/>
    <w:rsid w:val="006F2214"/>
    <w:rsid w:val="006F76A3"/>
    <w:rsid w:val="00705B9A"/>
    <w:rsid w:val="00707E99"/>
    <w:rsid w:val="00712E3F"/>
    <w:rsid w:val="00713633"/>
    <w:rsid w:val="007428DA"/>
    <w:rsid w:val="00745026"/>
    <w:rsid w:val="00772B9C"/>
    <w:rsid w:val="00777EF3"/>
    <w:rsid w:val="00790F8A"/>
    <w:rsid w:val="00792A2B"/>
    <w:rsid w:val="007B4D3D"/>
    <w:rsid w:val="007F35CE"/>
    <w:rsid w:val="008358B8"/>
    <w:rsid w:val="00865BF3"/>
    <w:rsid w:val="00893AD2"/>
    <w:rsid w:val="008A2F6B"/>
    <w:rsid w:val="008A42E3"/>
    <w:rsid w:val="008A5EFE"/>
    <w:rsid w:val="008A77AB"/>
    <w:rsid w:val="008B41C5"/>
    <w:rsid w:val="008C2543"/>
    <w:rsid w:val="008C3B1A"/>
    <w:rsid w:val="008D623F"/>
    <w:rsid w:val="008E5075"/>
    <w:rsid w:val="008F4B91"/>
    <w:rsid w:val="0090542C"/>
    <w:rsid w:val="009153B2"/>
    <w:rsid w:val="009350CB"/>
    <w:rsid w:val="009443AC"/>
    <w:rsid w:val="00945281"/>
    <w:rsid w:val="00947D05"/>
    <w:rsid w:val="009538AE"/>
    <w:rsid w:val="00954570"/>
    <w:rsid w:val="009674A1"/>
    <w:rsid w:val="00980267"/>
    <w:rsid w:val="00983CD5"/>
    <w:rsid w:val="00992E79"/>
    <w:rsid w:val="009A714A"/>
    <w:rsid w:val="009C1143"/>
    <w:rsid w:val="009E48E0"/>
    <w:rsid w:val="009F03D1"/>
    <w:rsid w:val="00A00B4A"/>
    <w:rsid w:val="00A1406A"/>
    <w:rsid w:val="00A22D02"/>
    <w:rsid w:val="00A30426"/>
    <w:rsid w:val="00A33B5B"/>
    <w:rsid w:val="00A4702E"/>
    <w:rsid w:val="00A50754"/>
    <w:rsid w:val="00A512A3"/>
    <w:rsid w:val="00A55825"/>
    <w:rsid w:val="00A56681"/>
    <w:rsid w:val="00A76482"/>
    <w:rsid w:val="00A77703"/>
    <w:rsid w:val="00A812CB"/>
    <w:rsid w:val="00AA2B62"/>
    <w:rsid w:val="00AB2853"/>
    <w:rsid w:val="00AC364B"/>
    <w:rsid w:val="00AC4A99"/>
    <w:rsid w:val="00AE7921"/>
    <w:rsid w:val="00B05FE8"/>
    <w:rsid w:val="00B1788B"/>
    <w:rsid w:val="00B443DD"/>
    <w:rsid w:val="00B51DB8"/>
    <w:rsid w:val="00B55755"/>
    <w:rsid w:val="00B62D79"/>
    <w:rsid w:val="00B70361"/>
    <w:rsid w:val="00B70B91"/>
    <w:rsid w:val="00B716F5"/>
    <w:rsid w:val="00B72A06"/>
    <w:rsid w:val="00B766C4"/>
    <w:rsid w:val="00B92298"/>
    <w:rsid w:val="00BA2606"/>
    <w:rsid w:val="00BC63A8"/>
    <w:rsid w:val="00BC6635"/>
    <w:rsid w:val="00BE2A3F"/>
    <w:rsid w:val="00BF1C22"/>
    <w:rsid w:val="00C022F9"/>
    <w:rsid w:val="00C209E3"/>
    <w:rsid w:val="00C30128"/>
    <w:rsid w:val="00C33FA8"/>
    <w:rsid w:val="00C36409"/>
    <w:rsid w:val="00C47B54"/>
    <w:rsid w:val="00C52450"/>
    <w:rsid w:val="00C64ED1"/>
    <w:rsid w:val="00C66BAA"/>
    <w:rsid w:val="00C903AC"/>
    <w:rsid w:val="00CB32DF"/>
    <w:rsid w:val="00CB34AF"/>
    <w:rsid w:val="00CC3246"/>
    <w:rsid w:val="00CE3DA1"/>
    <w:rsid w:val="00CE4482"/>
    <w:rsid w:val="00CF6B60"/>
    <w:rsid w:val="00D03328"/>
    <w:rsid w:val="00D26E1E"/>
    <w:rsid w:val="00D36638"/>
    <w:rsid w:val="00D37BAE"/>
    <w:rsid w:val="00D41123"/>
    <w:rsid w:val="00D75CFE"/>
    <w:rsid w:val="00D772AB"/>
    <w:rsid w:val="00D90A00"/>
    <w:rsid w:val="00D91845"/>
    <w:rsid w:val="00D9371C"/>
    <w:rsid w:val="00DA1EF0"/>
    <w:rsid w:val="00DB3FD0"/>
    <w:rsid w:val="00DD2D13"/>
    <w:rsid w:val="00DE2DDF"/>
    <w:rsid w:val="00DE5E12"/>
    <w:rsid w:val="00DF3BF5"/>
    <w:rsid w:val="00E2196F"/>
    <w:rsid w:val="00E2276E"/>
    <w:rsid w:val="00E41950"/>
    <w:rsid w:val="00E51346"/>
    <w:rsid w:val="00E569CB"/>
    <w:rsid w:val="00E577A2"/>
    <w:rsid w:val="00E60A53"/>
    <w:rsid w:val="00E63940"/>
    <w:rsid w:val="00E733A5"/>
    <w:rsid w:val="00E753EC"/>
    <w:rsid w:val="00E84459"/>
    <w:rsid w:val="00E971A2"/>
    <w:rsid w:val="00EB2D32"/>
    <w:rsid w:val="00EB7C94"/>
    <w:rsid w:val="00ED257A"/>
    <w:rsid w:val="00F040CF"/>
    <w:rsid w:val="00F3031D"/>
    <w:rsid w:val="00F3057A"/>
    <w:rsid w:val="00F30E9C"/>
    <w:rsid w:val="00F4022F"/>
    <w:rsid w:val="00F43895"/>
    <w:rsid w:val="00F55E4D"/>
    <w:rsid w:val="00F56E8A"/>
    <w:rsid w:val="00F61752"/>
    <w:rsid w:val="00F67F95"/>
    <w:rsid w:val="00F70563"/>
    <w:rsid w:val="00F76329"/>
    <w:rsid w:val="00FC391E"/>
    <w:rsid w:val="00FD7B65"/>
    <w:rsid w:val="00FF0A38"/>
    <w:rsid w:val="00FF4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F8D5C78"/>
  <w15:docId w15:val="{C140F1F3-9DDD-4C8C-89D6-E7F016B14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numPr>
        <w:numId w:val="45"/>
      </w:numPr>
      <w:outlineLvl w:val="0"/>
    </w:pPr>
    <w:rPr>
      <w:b/>
    </w:rPr>
  </w:style>
  <w:style w:type="paragraph" w:styleId="Heading2">
    <w:name w:val="heading 2"/>
    <w:basedOn w:val="Normal"/>
    <w:next w:val="Normal"/>
    <w:link w:val="Heading2Char"/>
    <w:uiPriority w:val="9"/>
    <w:semiHidden/>
    <w:unhideWhenUsed/>
    <w:qFormat/>
    <w:rsid w:val="0052590D"/>
    <w:pPr>
      <w:keepNext/>
      <w:keepLines/>
      <w:numPr>
        <w:ilvl w:val="1"/>
        <w:numId w:val="45"/>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2590D"/>
    <w:pPr>
      <w:keepNext/>
      <w:keepLines/>
      <w:numPr>
        <w:ilvl w:val="2"/>
        <w:numId w:val="45"/>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2590D"/>
    <w:pPr>
      <w:keepNext/>
      <w:keepLines/>
      <w:numPr>
        <w:ilvl w:val="3"/>
        <w:numId w:val="45"/>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2590D"/>
    <w:pPr>
      <w:keepNext/>
      <w:keepLines/>
      <w:numPr>
        <w:ilvl w:val="4"/>
        <w:numId w:val="45"/>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2590D"/>
    <w:pPr>
      <w:keepNext/>
      <w:keepLines/>
      <w:numPr>
        <w:ilvl w:val="5"/>
        <w:numId w:val="45"/>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2590D"/>
    <w:pPr>
      <w:keepNext/>
      <w:keepLines/>
      <w:numPr>
        <w:ilvl w:val="6"/>
        <w:numId w:val="45"/>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2590D"/>
    <w:pPr>
      <w:keepNext/>
      <w:keepLines/>
      <w:numPr>
        <w:ilvl w:val="7"/>
        <w:numId w:val="4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2590D"/>
    <w:pPr>
      <w:keepNext/>
      <w:keepLines/>
      <w:numPr>
        <w:ilvl w:val="8"/>
        <w:numId w:val="4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 w:type="character" w:styleId="CommentReference">
    <w:name w:val="annotation reference"/>
    <w:basedOn w:val="DefaultParagraphFont"/>
    <w:uiPriority w:val="99"/>
    <w:semiHidden/>
    <w:unhideWhenUsed/>
    <w:rsid w:val="00A00B4A"/>
    <w:rPr>
      <w:sz w:val="16"/>
      <w:szCs w:val="16"/>
    </w:rPr>
  </w:style>
  <w:style w:type="paragraph" w:styleId="CommentText">
    <w:name w:val="annotation text"/>
    <w:basedOn w:val="Normal"/>
    <w:link w:val="CommentTextChar"/>
    <w:uiPriority w:val="99"/>
    <w:semiHidden/>
    <w:unhideWhenUsed/>
    <w:rsid w:val="00A00B4A"/>
    <w:rPr>
      <w:sz w:val="20"/>
    </w:rPr>
  </w:style>
  <w:style w:type="character" w:customStyle="1" w:styleId="CommentTextChar">
    <w:name w:val="Comment Text Char"/>
    <w:basedOn w:val="DefaultParagraphFont"/>
    <w:link w:val="CommentText"/>
    <w:uiPriority w:val="99"/>
    <w:semiHidden/>
    <w:rsid w:val="00A00B4A"/>
    <w:rPr>
      <w:rFonts w:ascii="Arial" w:hAnsi="Arial"/>
    </w:rPr>
  </w:style>
  <w:style w:type="paragraph" w:styleId="CommentSubject">
    <w:name w:val="annotation subject"/>
    <w:basedOn w:val="CommentText"/>
    <w:next w:val="CommentText"/>
    <w:link w:val="CommentSubjectChar"/>
    <w:uiPriority w:val="99"/>
    <w:semiHidden/>
    <w:unhideWhenUsed/>
    <w:rsid w:val="00A00B4A"/>
    <w:rPr>
      <w:b/>
      <w:bCs/>
    </w:rPr>
  </w:style>
  <w:style w:type="character" w:customStyle="1" w:styleId="CommentSubjectChar">
    <w:name w:val="Comment Subject Char"/>
    <w:basedOn w:val="CommentTextChar"/>
    <w:link w:val="CommentSubject"/>
    <w:uiPriority w:val="99"/>
    <w:semiHidden/>
    <w:rsid w:val="00A00B4A"/>
    <w:rPr>
      <w:rFonts w:ascii="Arial" w:hAnsi="Arial"/>
      <w:b/>
      <w:bCs/>
    </w:rPr>
  </w:style>
  <w:style w:type="paragraph" w:customStyle="1" w:styleId="Default">
    <w:name w:val="Default"/>
    <w:rsid w:val="00A33B5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52590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52590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52590D"/>
    <w:rPr>
      <w:rFonts w:asciiTheme="majorHAnsi" w:eastAsiaTheme="majorEastAsia" w:hAnsiTheme="majorHAnsi" w:cstheme="majorBidi"/>
      <w:i/>
      <w:iCs/>
      <w:color w:val="2E74B5" w:themeColor="accent1" w:themeShade="BF"/>
      <w:sz w:val="22"/>
    </w:rPr>
  </w:style>
  <w:style w:type="character" w:customStyle="1" w:styleId="Heading5Char">
    <w:name w:val="Heading 5 Char"/>
    <w:basedOn w:val="DefaultParagraphFont"/>
    <w:link w:val="Heading5"/>
    <w:uiPriority w:val="9"/>
    <w:semiHidden/>
    <w:rsid w:val="0052590D"/>
    <w:rPr>
      <w:rFonts w:asciiTheme="majorHAnsi" w:eastAsiaTheme="majorEastAsia" w:hAnsiTheme="majorHAnsi" w:cstheme="majorBidi"/>
      <w:color w:val="2E74B5" w:themeColor="accent1" w:themeShade="BF"/>
      <w:sz w:val="22"/>
    </w:rPr>
  </w:style>
  <w:style w:type="character" w:customStyle="1" w:styleId="Heading6Char">
    <w:name w:val="Heading 6 Char"/>
    <w:basedOn w:val="DefaultParagraphFont"/>
    <w:link w:val="Heading6"/>
    <w:uiPriority w:val="9"/>
    <w:semiHidden/>
    <w:rsid w:val="0052590D"/>
    <w:rPr>
      <w:rFonts w:asciiTheme="majorHAnsi" w:eastAsiaTheme="majorEastAsia" w:hAnsiTheme="majorHAnsi" w:cstheme="majorBidi"/>
      <w:color w:val="1F4D78" w:themeColor="accent1" w:themeShade="7F"/>
      <w:sz w:val="22"/>
    </w:rPr>
  </w:style>
  <w:style w:type="character" w:customStyle="1" w:styleId="Heading7Char">
    <w:name w:val="Heading 7 Char"/>
    <w:basedOn w:val="DefaultParagraphFont"/>
    <w:link w:val="Heading7"/>
    <w:uiPriority w:val="9"/>
    <w:semiHidden/>
    <w:rsid w:val="0052590D"/>
    <w:rPr>
      <w:rFonts w:asciiTheme="majorHAnsi" w:eastAsiaTheme="majorEastAsia" w:hAnsiTheme="majorHAnsi" w:cstheme="majorBidi"/>
      <w:i/>
      <w:iCs/>
      <w:color w:val="1F4D78" w:themeColor="accent1" w:themeShade="7F"/>
      <w:sz w:val="22"/>
    </w:rPr>
  </w:style>
  <w:style w:type="character" w:customStyle="1" w:styleId="Heading8Char">
    <w:name w:val="Heading 8 Char"/>
    <w:basedOn w:val="DefaultParagraphFont"/>
    <w:link w:val="Heading8"/>
    <w:uiPriority w:val="9"/>
    <w:semiHidden/>
    <w:rsid w:val="0052590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2590D"/>
    <w:rPr>
      <w:rFonts w:asciiTheme="majorHAnsi" w:eastAsiaTheme="majorEastAsia" w:hAnsiTheme="majorHAnsi" w:cstheme="majorBidi"/>
      <w:i/>
      <w:iCs/>
      <w:color w:val="272727" w:themeColor="text1" w:themeTint="D8"/>
      <w:sz w:val="21"/>
      <w:szCs w:val="21"/>
    </w:rPr>
  </w:style>
  <w:style w:type="paragraph" w:styleId="Revision">
    <w:name w:val="Revision"/>
    <w:hidden/>
    <w:uiPriority w:val="99"/>
    <w:semiHidden/>
    <w:rsid w:val="00A77703"/>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8648">
      <w:bodyDiv w:val="1"/>
      <w:marLeft w:val="0"/>
      <w:marRight w:val="0"/>
      <w:marTop w:val="0"/>
      <w:marBottom w:val="0"/>
      <w:divBdr>
        <w:top w:val="none" w:sz="0" w:space="0" w:color="auto"/>
        <w:left w:val="none" w:sz="0" w:space="0" w:color="auto"/>
        <w:bottom w:val="none" w:sz="0" w:space="0" w:color="auto"/>
        <w:right w:val="none" w:sz="0" w:space="0" w:color="auto"/>
      </w:divBdr>
    </w:div>
    <w:div w:id="65345825">
      <w:bodyDiv w:val="1"/>
      <w:marLeft w:val="0"/>
      <w:marRight w:val="0"/>
      <w:marTop w:val="0"/>
      <w:marBottom w:val="0"/>
      <w:divBdr>
        <w:top w:val="none" w:sz="0" w:space="0" w:color="auto"/>
        <w:left w:val="none" w:sz="0" w:space="0" w:color="auto"/>
        <w:bottom w:val="none" w:sz="0" w:space="0" w:color="auto"/>
        <w:right w:val="none" w:sz="0" w:space="0" w:color="auto"/>
      </w:divBdr>
    </w:div>
    <w:div w:id="337119770">
      <w:bodyDiv w:val="1"/>
      <w:marLeft w:val="0"/>
      <w:marRight w:val="0"/>
      <w:marTop w:val="0"/>
      <w:marBottom w:val="0"/>
      <w:divBdr>
        <w:top w:val="none" w:sz="0" w:space="0" w:color="auto"/>
        <w:left w:val="none" w:sz="0" w:space="0" w:color="auto"/>
        <w:bottom w:val="none" w:sz="0" w:space="0" w:color="auto"/>
        <w:right w:val="none" w:sz="0" w:space="0" w:color="auto"/>
      </w:divBdr>
    </w:div>
    <w:div w:id="609626317">
      <w:bodyDiv w:val="1"/>
      <w:marLeft w:val="0"/>
      <w:marRight w:val="0"/>
      <w:marTop w:val="0"/>
      <w:marBottom w:val="0"/>
      <w:divBdr>
        <w:top w:val="none" w:sz="0" w:space="0" w:color="auto"/>
        <w:left w:val="none" w:sz="0" w:space="0" w:color="auto"/>
        <w:bottom w:val="none" w:sz="0" w:space="0" w:color="auto"/>
        <w:right w:val="none" w:sz="0" w:space="0" w:color="auto"/>
      </w:divBdr>
    </w:div>
    <w:div w:id="116708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87344-5DF9-499C-99CF-1C8778B7F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1</TotalTime>
  <Pages>3</Pages>
  <Words>876</Words>
  <Characters>4501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5367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creator>GX0620</dc:creator>
  <cp:lastModifiedBy>Scambler, Dianne</cp:lastModifiedBy>
  <cp:revision>2</cp:revision>
  <cp:lastPrinted>2018-03-14T15:24:00Z</cp:lastPrinted>
  <dcterms:created xsi:type="dcterms:W3CDTF">2018-09-03T12:31:00Z</dcterms:created>
  <dcterms:modified xsi:type="dcterms:W3CDTF">2018-09-03T12:31:00Z</dcterms:modified>
</cp:coreProperties>
</file>